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AVB</w:t>
      </w:r>
      <w:r>
        <w:rPr>
          <w:rFonts w:ascii="Calibri" w:hAnsi="Calibri"/>
          <w:b/>
          <w:color w:val="1A2010"/>
          <w:sz w:val="40"/>
        </w:rPr>
        <w:t xml:space="preserve">  AvalonBay Communities, Inc.</w:t>
      </w:r>
    </w:p>
    <w:p>
      <w:pPr>
        <w:spacing w:after="120"/>
      </w:pPr>
      <w:r>
        <w:rPr>
          <w:rFonts w:ascii="Calibri" w:hAnsi="Calibri"/>
          <w:b/>
          <w:color w:val="6E8450"/>
          <w:sz w:val="18"/>
        </w:rPr>
        <w:t>DIVIDEND SLEEVE · 2026-09-28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Residential · NYSE · United States</w:t>
      </w:r>
    </w:p>
    <w:p>
      <w:pPr>
        <w:spacing w:after="80"/>
      </w:pPr>
      <w:r>
        <w:rPr>
          <w:rFonts w:ascii="Calibri" w:hAnsi="Calibri"/>
          <w:b w:val="0"/>
          <w:color w:val="3A4A28"/>
          <w:sz w:val="20"/>
        </w:rPr>
        <w:t>AvalonBay Communities is an S&amp;P 500 equity REIT that develops, redevelops, acquires, and manages apartment communities in leading U.S. metropolitan areas. As of June 2026, the company owned or held interests in 322 apartment communities containing 99,072 apartment homes across 11 states and D.C., including 27 communities under development. The portfolio spans high-barrier-to-entry markets including Boston, New York/New Jersey, the Mid-Atlantic, Seattle, and Northern/Southern California, with expansion into Sun Belt markets (Raleigh-Durham, Charlotte, Southeast Florida, Dallas, Austin, Denver). AvalonBay reported 2025 same-store revenue growth of 2.5%, Core FFO/share growth of 2.1%, and record low resident turnover. Q2 2026 results showed increased same-store outlook, though EPS/FFO guidance was suspended due to a proposed merger.</w:t>
      </w:r>
    </w:p>
    <w:p>
      <w:r>
        <w:rPr>
          <w:rFonts w:ascii="Calibri" w:hAnsi="Calibri"/>
          <w:b/>
          <w:color w:val="6E8450"/>
          <w:sz w:val="18"/>
        </w:rPr>
        <w:t>3,011 Employees · https://www.avaloncommunities.com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AvalonBay has expanded its geographic footprint from its traditional high-barrier coastal markets into Sun Belt expansion regions (Raleigh-Durham, Charlotte, Southeast Florida, Dallas, Austin, Denver), representing a meaningful strategic evolution over the past five years [1]. The company also grew from approximately 80,000 to 99,072 apartment homes. However, this is market expansion within the same apartment REIT model, not a transformative business pivot. AI Deployment (2/2): AvalonBay's AI assistant Sidney is a standout — AI solutions handle approximately 90% of prospect workflows, with over 2.5 million combined annual customer interactions across AvalonBay and partner Equity Residential [4]. This represents measurable AI deployment at scale, automating leasing inquiries, tour scheduling, and resident communications with quantifiable operational impact. Market Share (1/2): AvalonBay is one of the largest apartment REITs in the U.S. with a $26.3B market cap and 99,072 apartment homes, an S&amp;P 500 constituent and meaningful player in multifamily housing, but competes with similar-scale peers including Equity Residential, UDR, and Mid-America Apartment Communities [1]. Product Pipeline (1/2): 27 communities under development as of June 2026 provide visible near-term revenue growth, representing approximately 8% incremental capacity; however, these are standard apartment developments without revolutionary design or technology differentiation [1]. R&amp;D Intensity (0/1): REITs do not traditionally report R&amp;D spending, though AvalonBay's investment in AI (Sidney) and innovation culture is above average for the REIT sector.</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'Creating a Better Way to Live' is a specific and thoughtful mission that connects apartment development to a larger purpose — improving residents' quality of life through community design, amenities, and service [4][5]. The cultural norms (Collaborate, Excel, Act Like Owners, Thoughtful &amp; Thorough, Innovate) demonstrate genuine intentionality about how the company operates. This differentiates from peers who frame their purpose purely in real estate investment terms. The mission has guided strategic decisions including investment in AI resident services, sustainability programs, and community design. Community &amp; Charitable Impact (1/2): AvalonBay has earned MSCI 'A' ESG rating, CDP 'A-' climate rating, Newsweek's America's Most Responsible Companies for five consecutive years, and the Green Lease Leader Gold award [5]. These represent sustained environmental and social commitment, though specific charitable program dollar amounts and community development investment figures were not identified. Employee Retention (2/2): AvalonBay achieved 'record low turnover' in Q4 2025, providing specific evidence of above-average employee retention [1]. The collaborative innovation culture with free-flowing ideas between teams, workshops, and brainstorming sessions suggests employees stay because they believe in the mission and enjoy the work environment [4]. Insider Buying (0/2): No evidence of meaningful net insider buying by executives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for a Dividend-classified stock. AvalonBay demonstrates strong profitability with profit margin of 33.32% (above 20% target) and D/E of 75.13% (near the 70% target, scoring 0.978) [6]. Long dividend history of approximately 28 consecutive years of payments and estimated 10+ consecutive years of growth both contribute strongly with 2x and 1x weights respectively. The primary drags are: ROE of 8.49% (well below 15% target, reflecting REIT capital structure), Forward P/E of 36.58x (premium valuation scoring 0.586), payout ratio of 96.98% (near the 100% floor, scoring just 0.050 — though this is structurally normal for REITs required to distribute 90% of taxable income), modest revenue growth YoY of 2.3% (below 10% target but typical for stabilized apartment portfolios), 5-year revenue CAGR of approximately 5% (half of target), and 5-year dividend growth CAGR of approximately 3% (below the 6% target, scoring 0.5 with 2x weight) [1][6]. Liquidity floor easily cleared at approximately $227M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AvalonBay plays a genuinely long game — the mission of 'Creating a Better Way to Live' connects apartment development to a purpose beyond shareholder returns, and the company has demonstrated consistency through market cycles, geographic expansion, and technological adoption (Sidney AI). The record low turnover and collaborative innovation culture suggest an organization where people work toward the mission rather than just collecting a paycheck. However, the proposed merger announced in Q2 2026 introduces uncertainty about whether the company's distinctive culture and purpose will survive consolidation, and the competitive framing still emphasizes market position metrics (occupancy, rent growth, NOI) over purpose-driven outcomes.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'Creating a Better Way to Live' is a genuine cause that has been partially lived out through consistent strategic decisions — expansion into markets where housing supply is constrained, investment in community amenities and resident services, and adoption of AI to improve the resident experience [1][4]. The cultural norms (Act Like Owners, Innovate, Collaborate) show the cause shapes internal behavior. However, AvalonBay focuses on market-rate luxury apartments in affluent metros, which limits the universality of 'a better way to live' — the cause has not been tested through crisis or demonstrated multi-decade consistency across leadership transitions that would merit a 3-point score.</w:t>
      </w:r>
    </w:p>
    <w:p>
      <w:pPr>
        <w:spacing w:before="200" w:after="40"/>
      </w:pPr>
      <w:r>
        <w:rPr>
          <w:rFonts w:ascii="Calibri" w:hAnsi="Calibri"/>
          <w:b/>
          <w:color w:val="1A2010"/>
          <w:sz w:val="22"/>
        </w:rPr>
        <w:t>Trusting Teams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(2/2): AvalonBay achieved record low resident turnover in Q4 2025, and the organizational culture is characterized by collaborative innovation with free-flowing ideas between internal teams and startup partners, workshops, and brainstorming sessions [1][4]. The cultural norms of 'Act Like Owners' and 'Collaborate' suggest employee empowerment and psychological safety. With only 3,011 employees managing 99,072 apartment homes, the company operates with high trust and autonomy — each employee effectively manages 33 homes, requiring significant operational empowerment and decision-making authority at the property level.</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AvalonBay's competitive positioning emphasizes its market-leading position — S&amp;P 500 constituent, 99,072 homes, high-barrier markets — framed in finite terms of scale and market position [1]. The partnership with Equity Residential on AI solutions shows cooperative competitive behavior, but no evidence was found of management commentary that explicitly frames competition as motivation for self-improvement or acknowledges learning from rivals' strengths.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AvalonBay has evolved its strategy by expanding from its traditional high-barrier coastal markets into Sun Belt expansion regions, adopting AI for property management (a technology pivot for a real estate company), and pursuing the proposed merger — each representing strategic adaptation [1][3][4]. The AI adoption is particularly notable as it represents a willingness to fundamentally change how the company interacts with residents and prospects. However, the core business model (own/develop/manage apartment communities) has remained unchanged since inception; these are incremental evolutions, not transformative reinventions.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AvalonBay has made forward-looking investments including expansion into Sun Belt markets (a strategic bet on demographic trends over established market dominance), early adoption of AI at scale (Sidney), and the proposed merger which represents a significant strategic commitment [1][3][4]. These demonstrate willingness to evolve rather than simply optimize the existing portfolio. However, these are within-model evolutions rather than the kind of costly contrarian bets that sacrifice near-term earnings for long-term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AvalonBay at $184.06 (36.58x forward P/E, 3.87% dividend yield) offers a premium apartment REIT with exceptional operational execution and a distinctive AI-driven property management platform. The portfolio of 99,072 apartments in high-barrier-to-entry markets generates stable, inflation-protected cash flows, with 2025 same-store revenue up 2.5% and record low turnover demonstrating demand resilience [1]. The Sidney AI assistant handling 90% of prospect workflows positions AvalonBay at the technological frontier of property management, creating operational efficiencies that peers have not replicated at scale [4]. The 27 communities under development provide visible near-term growth, while the proposed merger (announced Q2 2026) could create transformative scale advantages if completed [3]. AvalonBay's expansion into Sun Belt markets diversifies away from coastal market concentration and captures favorable demographic trends.</w:t>
      </w:r>
    </w:p>
    <w:p>
      <w:pPr>
        <w:spacing w:after="120"/>
      </w:pPr>
      <w:r>
        <w:rPr>
          <w:rFonts w:ascii="Calibri" w:hAnsi="Calibri"/>
          <w:b w:val="0"/>
          <w:color w:val="3A4A28"/>
          <w:sz w:val="20"/>
        </w:rPr>
        <w:t>The bear case centers on premium valuation, the merger's uncertainty, and structural REIT constraints. Forward P/E of 36.58x and PEG of 7.17 price in substantial growth that the modest 2.3% same-store revenue growth and 5% 5-year revenue CAGR struggle to support [6]. The proposed merger's suspension of EPS/FFO guidance creates near-term earnings uncertainty and potential antitrust, regulatory, and integration risks [3]. EPS growth YoY of -41.3% reflects lumpy GAAP gains/losses typical of REITs, but signals deteriorating near-term earnings. ROE of 8.49% is structurally low for a REIT given high leverage and depreciation, limiting capital efficiency improvement. The 96.98% payout ratio, while standard for REITs required to distribute 90% of taxable income, leaves virtually no retained earnings for growth — all expansion must be externally funded through debt or equity issuance. The Inspire Impact Score of -49 (MISALIGNED) may limit allocation for faith-based investors due to the LGBT Activism negative attribution. Rising interest rates would increase cost of capital and compress asset values across the apartment REIT sector.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Proposed merger announced Q2 2026 — if completed, could create a combined apartment REIT with transformative scale advantages, cost synergies, and broader market coverage, potentially re-rating the stock to a premium platform multiple [3]</w:t>
      </w:r>
    </w:p>
    <w:p>
      <w:pPr>
        <w:spacing w:before="40" w:after="40"/>
        <w:ind w:left="283"/>
      </w:pPr>
      <w:r>
        <w:rPr>
          <w:rFonts w:ascii="Calibri" w:hAnsi="Calibri"/>
          <w:b/>
          <w:color w:val="4A6B25"/>
          <w:sz w:val="20"/>
        </w:rPr>
        <w:t xml:space="preserve">2. </w:t>
      </w:r>
      <w:r>
        <w:rPr>
          <w:rFonts w:ascii="Calibri" w:hAnsi="Calibri"/>
          <w:b w:val="0"/>
          <w:color w:val="3A4A28"/>
          <w:sz w:val="20"/>
        </w:rPr>
        <w:t>Sidney AI platform expansion — the 90% prospect workflow automation with 2.5M annual interactions represents a competitive moat that is still early in deployment, with potential to reduce operating costs further as AI capabilities expand to maintenance, amenity management, and lease renewals [4]</w:t>
      </w:r>
    </w:p>
    <w:p>
      <w:pPr>
        <w:spacing w:before="40" w:after="40"/>
        <w:ind w:left="283"/>
      </w:pPr>
      <w:r>
        <w:rPr>
          <w:rFonts w:ascii="Calibri" w:hAnsi="Calibri"/>
          <w:b/>
          <w:color w:val="4A6B25"/>
          <w:sz w:val="20"/>
        </w:rPr>
        <w:t xml:space="preserve">3. </w:t>
      </w:r>
      <w:r>
        <w:rPr>
          <w:rFonts w:ascii="Calibri" w:hAnsi="Calibri"/>
          <w:b w:val="0"/>
          <w:color w:val="3A4A28"/>
          <w:sz w:val="20"/>
        </w:rPr>
        <w:t>Sun Belt development pipeline — 27 communities under development providing approximately 8% incremental capacity, with expansion into high-growth Sun Belt markets (Dallas, Austin, Denver, Southeast Florida) capturing favorable population and employment migration trends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Merger execution and regulatory risk — the proposed merger has already caused suspension of financial guidance, and antitrust review, integration complexity, and cultural combination risks could derail the transaction or destroy value, leaving shareholders with an uncertain outlook for 12-18 months [3]</w:t>
      </w:r>
    </w:p>
    <w:p>
      <w:pPr>
        <w:spacing w:before="40" w:after="40"/>
        <w:ind w:left="283"/>
      </w:pPr>
      <w:r>
        <w:rPr>
          <w:rFonts w:ascii="Calibri" w:hAnsi="Calibri"/>
          <w:b/>
          <w:color w:val="4A6B25"/>
          <w:sz w:val="20"/>
        </w:rPr>
        <w:t xml:space="preserve">2. </w:t>
      </w:r>
      <w:r>
        <w:rPr>
          <w:rFonts w:ascii="Calibri" w:hAnsi="Calibri"/>
          <w:b w:val="0"/>
          <w:color w:val="3A4A28"/>
          <w:sz w:val="20"/>
        </w:rPr>
        <w:t>Interest rate sensitivity — as a capital-intensive REIT with $9.2B in debt at 75.13% D/E, rising rates increase refinancing costs, compress cap rates, and reduce the present value of future cash flows, directly impacting stock price and development economics [6]</w:t>
      </w:r>
    </w:p>
    <w:p>
      <w:pPr>
        <w:spacing w:before="40" w:after="40"/>
        <w:ind w:left="283"/>
      </w:pPr>
      <w:r>
        <w:rPr>
          <w:rFonts w:ascii="Calibri" w:hAnsi="Calibri"/>
          <w:b/>
          <w:color w:val="4A6B25"/>
          <w:sz w:val="20"/>
        </w:rPr>
        <w:t xml:space="preserve">3. </w:t>
      </w:r>
      <w:r>
        <w:rPr>
          <w:rFonts w:ascii="Calibri" w:hAnsi="Calibri"/>
          <w:b w:val="0"/>
          <w:color w:val="3A4A28"/>
          <w:sz w:val="20"/>
        </w:rPr>
        <w:t>Coastal market supply pressure — new apartment construction completions in AvalonBay's core markets (New York, Boston, D.C., Seattle, California) could limit rent growth below the 2.5% same-store residential revenue growth achieved in 2025, particularly if the remote work trend reduces demand in urban cores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AvalonBay's core business — owning and operating physical apartment buildings — is essentially immune to AI disruption [1]. Real estate is a physical-world asset class that AI structurally cannot displace; apartments require physical construction, maintenance, and management in specific geographic locations with irreplaceable land positions. The high-barrier-to-entry markets (coastal metros, Sun Belt growth cities) benefit from supply constraints that no AI tool can overcome. Furthermore, AI-driven growth in the technology sector increases demand for housing in AvalonBay's core markets as AI workers need apartments. The regulatory environment (zoning, building codes, rent regulations) adds further protection. AI may modestly impact property management operations (leasing, maintenance scheduling), but this is an efficiency tool, not a displacement threat. AI Opportunity (1/1): Sidney, AvalonBay's AI assistant, handles approximately 90% of prospect workflows with over 2.5 million annual customer interactions, directly contributing to leasing efficiency and cost reduction [4]. This represents quantifiable AI-driven operational savings in a core business function.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AvalonBay Q4 2025 Earnings Release — FY2025 Same Store Residential Revenue +2.5%, Core FFO/share +2.1%, record low turnover, 322 communities, 99,072 homes, February 2026</w:t>
      </w:r>
    </w:p>
    <w:p>
      <w:pPr>
        <w:spacing w:before="20" w:after="20"/>
        <w:ind w:left="170"/>
      </w:pPr>
      <w:r>
        <w:rPr>
          <w:rFonts w:ascii="Calibri" w:hAnsi="Calibri"/>
          <w:b/>
          <w:color w:val="4A6B25"/>
          <w:sz w:val="15"/>
        </w:rPr>
        <w:t xml:space="preserve">2. </w:t>
      </w:r>
      <w:r>
        <w:rPr>
          <w:rFonts w:ascii="Calibri" w:hAnsi="Calibri"/>
          <w:b w:val="0"/>
          <w:color w:val="3A4A28"/>
          <w:sz w:val="17"/>
        </w:rPr>
        <w:t>AvalonBay Q1 2026 Results — Same Store Residential revenue +1.6%, reaffirmed Core FFO and FFO outlook, updated EPS outlook, April 2026</w:t>
      </w:r>
    </w:p>
    <w:p>
      <w:pPr>
        <w:spacing w:before="20" w:after="20"/>
        <w:ind w:left="170"/>
      </w:pPr>
      <w:r>
        <w:rPr>
          <w:rFonts w:ascii="Calibri" w:hAnsi="Calibri"/>
          <w:b/>
          <w:color w:val="4A6B25"/>
          <w:sz w:val="15"/>
        </w:rPr>
        <w:t xml:space="preserve">3. </w:t>
      </w:r>
      <w:r>
        <w:rPr>
          <w:rFonts w:ascii="Calibri" w:hAnsi="Calibri"/>
          <w:b w:val="0"/>
          <w:color w:val="3A4A28"/>
          <w:sz w:val="17"/>
        </w:rPr>
        <w:t>AvalonBay Q2 2026 Results — Increased same-store outlook, suspended EPS/FFO/Core FFO guidance due to proposed merger, Nasdaq press release, July 2026</w:t>
      </w:r>
    </w:p>
    <w:p>
      <w:pPr>
        <w:spacing w:before="20" w:after="20"/>
        <w:ind w:left="170"/>
      </w:pPr>
      <w:r>
        <w:rPr>
          <w:rFonts w:ascii="Calibri" w:hAnsi="Calibri"/>
          <w:b/>
          <w:color w:val="4A6B25"/>
          <w:sz w:val="15"/>
        </w:rPr>
        <w:t xml:space="preserve">4. </w:t>
      </w:r>
      <w:r>
        <w:rPr>
          <w:rFonts w:ascii="Calibri" w:hAnsi="Calibri"/>
          <w:b w:val="0"/>
          <w:color w:val="3A4A28"/>
          <w:sz w:val="17"/>
        </w:rPr>
        <w:t>AvalonBay AI &amp; Innovation Culture — Sidney AI assistant handling ~90% prospect workflows, 2.5M annual interactions, InnoLead case study, collaborative innovation culture (Collaborate, Excel, Act Like Owners, Innovate), 2025-2026</w:t>
      </w:r>
    </w:p>
    <w:p>
      <w:pPr>
        <w:spacing w:before="20" w:after="20"/>
        <w:ind w:left="170"/>
      </w:pPr>
      <w:r>
        <w:rPr>
          <w:rFonts w:ascii="Calibri" w:hAnsi="Calibri"/>
          <w:b/>
          <w:color w:val="4A6B25"/>
          <w:sz w:val="15"/>
        </w:rPr>
        <w:t xml:space="preserve">5. </w:t>
      </w:r>
      <w:r>
        <w:rPr>
          <w:rFonts w:ascii="Calibri" w:hAnsi="Calibri"/>
          <w:b w:val="0"/>
          <w:color w:val="3A4A28"/>
          <w:sz w:val="17"/>
        </w:rPr>
        <w:t>AvalonBay ESG Report 2023 — MSCI 'A' rating, CDP 'A-', Newsweek Most Responsible Companies (5 consecutive years), Green Lease Leader Gold, thirteenth annual ESG report, July 2024</w:t>
      </w:r>
    </w:p>
    <w:p>
      <w:pPr>
        <w:spacing w:before="20" w:after="20"/>
        <w:ind w:left="170"/>
      </w:pPr>
      <w:r>
        <w:rPr>
          <w:rFonts w:ascii="Calibri" w:hAnsi="Calibri"/>
          <w:b/>
          <w:color w:val="4A6B25"/>
          <w:sz w:val="15"/>
        </w:rPr>
        <w:t xml:space="preserve">6. </w:t>
      </w:r>
      <w:r>
        <w:rPr>
          <w:rFonts w:ascii="Calibri" w:hAnsi="Calibri"/>
          <w:b w:val="0"/>
          <w:color w:val="3A4A28"/>
          <w:sz w:val="17"/>
        </w:rPr>
        <w:t>Yahoo Finance — AVB Key Statistics: Forward P/E 36.58x, ROE 8.49%, D/E 75.13%, Dividend Yield 3.87%, Stock Price $184.06,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