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AXGN</w:t>
      </w:r>
      <w:r>
        <w:rPr>
          <w:rFonts w:ascii="Calibri" w:hAnsi="Calibri"/>
          <w:b/>
          <w:color w:val="1A2010"/>
          <w:sz w:val="40"/>
        </w:rPr>
        <w:t xml:space="preserve">  Axogen, Inc.</w:t>
      </w:r>
    </w:p>
    <w:p>
      <w:pPr>
        <w:spacing w:after="120"/>
      </w:pPr>
      <w:r>
        <w:rPr>
          <w:rFonts w:ascii="Calibri" w:hAnsi="Calibri"/>
          <w:b/>
          <w:color w:val="6E8450"/>
          <w:sz w:val="18"/>
        </w:rPr>
        <w:t>GROWTH SLEEVE · 2026-10-01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Axogen, Inc. develops and commercializes surgical solutions for peripheral nerve injuries worldwide. Core products include Avance Nerve Graft (the only commercially available processed human nerve allograft), Axoguard Nerve Connector, Axoguard Nerve Protector, Axoguard HA+ Nerve Protector, and Avive+ Soft Tissue Matrix. The company serves extremity, breast reconstruction, oral/maxillofacial, and head/neck surgery markets through a direct sales force. Q2 2026 revenue of $69.7M (up 23.1% YoY) with full-year guidance of at least $279M (24%+ growth).</w:t>
      </w:r>
    </w:p>
    <w:p>
      <w:r>
        <w:rPr>
          <w:rFonts w:ascii="Calibri" w:hAnsi="Calibri"/>
          <w:b/>
          <w:color w:val="6E8450"/>
          <w:sz w:val="18"/>
        </w:rPr>
        <w:t>622 Employees · https://www.axogeninc.com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Axogen successfully expanded from extremity nerve repair into breast reconstruction, with breast segment revenue growing more than 50% YoY in Q2 2026 and contributing approximately two-thirds of quarterly growth [1]. This market expansion opened a significant new revenue stream now driving the company's 23%+ growth trajectory. AI Deployment (0/2): No AI products deployed or AI-driven revenue gains reported; the company's products are biological tissue-based surgical solutions, not technology-enabled. Market Share (2/2): Axogen is the undisputed category leader in processed nerve allografts, having essentially created and defined the peripheral nerve repair market with Avance Nerve Graft — the only commercially available processed human nerve allograft — representing 65% of Q2 2026 revenue [1][2]. Product Pipeline (1/2): Expanding commercial sales coverage and surgeon education programs drive adoption across new surgical specialties (breast, OMF, head/neck), with full-year 2026 guidance raised to at least $279M [1]. However, no specific named next-generation products with launch dates have been disclosed. R&amp;D Intensity (1/1): Axogen invests significantly in clinical research, surgeon education, and product development relative to its $251M revenue base, with 74.6% gross margins reflecting high IP value consistent with specialty med-tech standards [2][4].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Axogen's mission to 'make nerve repair the expected standard of care' is specific, service-oriented, idealistic, and never fully achievable — qualities that align closely with Sinek's Just Cause criteria [2]. The mission directly shapes strategic decisions: expanding into breast reconstruction and OMF surgery serves the goal of making nerve repair standard across all surgical contexts, not just extremity repair. Community Impact (1/2): Axogen supports surgeon education and clinical research advancing the science of nerve repair, with global surgeon networks and educational programs expanding access to nerve repair techniques. Inaugural ESG report published but no major charitable foundation or specific community investment dollar amounts cited [3]. Employee Retention (0/2): Glassdoor shows only 35% of employees recommending Axogen to a friend, with some reviews noting 'executive leadership is a little out of touch' [2]. CEO transition from long-tenured Karen Zaderej to Michael Dale in August 2024 introduces cultural uncertainty. No specific retention data available. Insider Buying (0/2): No evidence of meaningful net insider buying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D/E of 7.83% reflects an exceptionally clean balance sheet with $111M cash against only $20M debt (score 1.0) [4]. Revenue growth of 23.1% YoY and 5yr CAGR of ~16% both exceed the 10% target (scores 1.0 each, with 5yr CAGR at 2× weight). However, the company remains unprofitable: ROE of -18.2% (score 0.0, 2× weight) and profit margin of -13.4% (score 0.0) eliminate four weight units [4]. Forward P/E of 60.8 is at the ≥60 floor (score 0.0), and PEG of 99.0 reflects the near-breakeven earnings base (score 0.0, 2× weight). Weighted sum 4.0 / max 10.0 = 4.0. Liquidity check: $41.92 × 1,178,322 = $49.4M daily dollar volume passes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Axogen demonstrates genuine infinite-game characteristics through its mission-driven market expansion — expanding from extremity nerve repair to breast reconstruction and OMF surgery is clearly driven by the Just Cause of making nerve repair standard across all surgical contexts. However, the company is still pre-profit, has undergone a recent CEO transition (Zaderej to Dale, August 2024), and Glassdoor sentiment at 35% recommend raises questions about organizational trust during this growth phase.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'Make nerve repair the expected standard of care' is a genuine Just Cause by Sinek's criteria — resilient (transcends any product), inclusive (invites surgeons and systems to contribute), service-oriented (benefits patients), idealistic (nerve repair is not yet standard), and big (can never be fully achieved) [2]. Strategic decisions clearly trace to this cause: breast reconstruction and OMF expansion serve the mission rather than mere revenue diversification. However, the cause has not yet been validated through a major crisis or leadership transition under the current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 622 employees, Axogen operates at a scale where team trust is achievable. The data-driven, evidence-based culture and emphasis on clinical research suggest a meritocratic environment [2]. However, Glassdoor at 35% recommend is concerning, with reviews noting executive leadership being 'out of touch,' and the August 2024 CEO transition from Zaderej to Dale introduces uncertainty about cultural continuity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Axogen operates as essentially the only player in processed nerve allografts, creating near-monopoly dynamics in its defined category. No evidence of management language acknowledging competitors' strengths or using competitive pressure for self-improvement. The lack of meaningful direct competition may limit the introspective growth Sinek associates with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expansion from extremity nerve repair into breast reconstruction represents a significant strategic pivot that substantially expanded the addressable market, with breast segment revenue growing 50%+ YoY in Q2 2026 [1]. This was driven by the Just Cause (nerve repair should be standard everywhere), not desperation. However, the underlying business model — biological tissue processing and direct sales to surgeons — has remained constant.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Axogen continues to invest aggressively in commercial expansion and surgeon education while still operating at a net loss, demonstrating willingness to sacrifice near-term profitability for long-term market development [1]. The decision to accept gross margin guidance of 73%+ (down from 76%+) to accommodate faster breast reconstruction growth shows prioritizing market penetration over short-term margin optimization. However, the CEO transition introduces uncertainty about whether this investment posture will continue.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Axogen is the undisputed leader in peripheral nerve repair with a powerful category-creation growth engine: Q2 2026 revenue of $69.7M (up 23.1% YoY), full-year guidance raised to at least $279M (24%+ growth), and breast reconstruction driving 50%+ segment growth as a transformative new market [1]. Avance Nerve Graft's position as the only commercially available processed human nerve allograft creates a near-monopoly, while 74.6% gross margins reflect premium product economics. The $111M cash position against only $20M debt provides substantial runway for continued commercial investment, and the essentially debt-free balance sheet (D/E of 7.83%) positions the company for sustained market development [4]. The Inspire ALIGNED score of 38 reflects strong ethical alignment across customer welfare, product access, and supply chain practices [3].</w:t>
      </w:r>
    </w:p>
    <w:p>
      <w:pPr>
        <w:spacing w:after="120"/>
      </w:pPr>
      <w:r>
        <w:rPr>
          <w:rFonts w:ascii="Calibri" w:hAnsi="Calibri"/>
          <w:b w:val="0"/>
          <w:color w:val="3A4A28"/>
          <w:sz w:val="20"/>
        </w:rPr>
        <w:t>The core risk is that Axogen remains meaningfully unprofitable at -13.4% net margin despite $251M+ TTM revenue and 23%+ growth, with no clear timeline to GAAP profitability [4]. Forward P/E of 60.8x on a $2.46B market cap prices the stock entirely on growth expectations — any miss against 24%+ revenue guidance could trigger significant multiple compression. The August 2024 CEO transition from long-tenured Karen Zaderej to Michael Dale introduces execution risk during a critical growth phase, and Glassdoor sentiment at 35% recommend signals organizational challenges below the executive level [2]. The breast reconstruction market, while growing rapidly, involves product-mix changes that have already compressed gross margin guidance to 73%+, and further margin dilution could delay the profitability timeline. If synthetic or bioengineered nerve repair alternatives emerge matching Avance's clinical outcomes at lower cost, the near-monopoly position and premium pricing could erode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Breast reconstruction segment sustaining 50%+ revenue growth as surgeon education and commercial coverage expand into what management describes as a large underpenetrated market [1]</w:t>
      </w:r>
    </w:p>
    <w:p>
      <w:pPr>
        <w:spacing w:before="40" w:after="40"/>
        <w:ind w:left="283"/>
      </w:pPr>
      <w:r>
        <w:rPr>
          <w:rFonts w:ascii="Calibri" w:hAnsi="Calibri"/>
          <w:b/>
          <w:color w:val="4A6B25"/>
          <w:sz w:val="20"/>
        </w:rPr>
        <w:t xml:space="preserve">2. </w:t>
      </w:r>
      <w:r>
        <w:rPr>
          <w:rFonts w:ascii="Calibri" w:hAnsi="Calibri"/>
          <w:b w:val="0"/>
          <w:color w:val="3A4A28"/>
          <w:sz w:val="20"/>
        </w:rPr>
        <w:t>Operating leverage from 24%+ revenue growth driving the company toward free cash flow breakeven and eventual GAAP profitability, with Q2 2026 showing improving trends at -$0.03 EPS [1]</w:t>
      </w:r>
    </w:p>
    <w:p>
      <w:pPr>
        <w:spacing w:before="40" w:after="40"/>
        <w:ind w:left="283"/>
      </w:pPr>
      <w:r>
        <w:rPr>
          <w:rFonts w:ascii="Calibri" w:hAnsi="Calibri"/>
          <w:b/>
          <w:color w:val="4A6B25"/>
          <w:sz w:val="20"/>
        </w:rPr>
        <w:t xml:space="preserve">3. </w:t>
      </w:r>
      <w:r>
        <w:rPr>
          <w:rFonts w:ascii="Calibri" w:hAnsi="Calibri"/>
          <w:b w:val="0"/>
          <w:color w:val="3A4A28"/>
          <w:sz w:val="20"/>
        </w:rPr>
        <w:t>New CEO Michael Dale's 30+ years in cardiovascular and neuromodulation medical devices potentially accelerating international expansion or strategic M&amp;A to broaden the nerve repair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negative net margins at -13.4% on $251M+ TTM revenue raise questions about the operating leverage potential of the sales-intensive commercial model, with no clear timeline to GAAP profitability [4]</w:t>
      </w:r>
    </w:p>
    <w:p>
      <w:pPr>
        <w:spacing w:before="40" w:after="40"/>
        <w:ind w:left="283"/>
      </w:pPr>
      <w:r>
        <w:rPr>
          <w:rFonts w:ascii="Calibri" w:hAnsi="Calibri"/>
          <w:b/>
          <w:color w:val="4A6B25"/>
          <w:sz w:val="20"/>
        </w:rPr>
        <w:t xml:space="preserve">2. </w:t>
      </w:r>
      <w:r>
        <w:rPr>
          <w:rFonts w:ascii="Calibri" w:hAnsi="Calibri"/>
          <w:b w:val="0"/>
          <w:color w:val="3A4A28"/>
          <w:sz w:val="20"/>
        </w:rPr>
        <w:t>Product-mix shift toward breast reconstruction is compressing gross margins from 76%+ to 73%+, and further acceleration in this lower-margin segment could delay breakeven despite top-line growth [1]</w:t>
      </w:r>
    </w:p>
    <w:p>
      <w:pPr>
        <w:spacing w:before="40" w:after="40"/>
        <w:ind w:left="283"/>
      </w:pPr>
      <w:r>
        <w:rPr>
          <w:rFonts w:ascii="Calibri" w:hAnsi="Calibri"/>
          <w:b/>
          <w:color w:val="4A6B25"/>
          <w:sz w:val="20"/>
        </w:rPr>
        <w:t xml:space="preserve">3. </w:t>
      </w:r>
      <w:r>
        <w:rPr>
          <w:rFonts w:ascii="Calibri" w:hAnsi="Calibri"/>
          <w:b w:val="0"/>
          <w:color w:val="3A4A28"/>
          <w:sz w:val="20"/>
        </w:rPr>
        <w:t>Category risk: if synthetic or bioengineered nerve repair alternatives emerge matching Avance Nerve Graft's clinical outcomes at lower cost, Axogen's near-monopoly position and premium pricing could erode rapidly, and the company has no diversified revenue base to absorb the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Peripheral nerve repair is a deeply physical surgical procedure requiring human surgeons to implant biological tissue grafts into injured patients. Avance Nerve Graft is a processed human nerve allograft — a physical product that AI structurally cannot substitute [2]. The regulatory pathway (FDA-cleared biological products), surgical training requirements, and hospital purchasing processes create structural moats against AI displacement. AI could potentially assist in surgical planning or nerve injury diagnosis, which would increase demand for nerve repair procedures rather than displace Axogen's products. AI Opportunity (0/1): No AI-driven revenue. The company's products are biological tissues and surgical tools, not technology-enabled devices. No quantifiable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Axogen Q2 2026 Earnings Release and Raised Full-Year Guidance — GlobeNewsWire/Axogen IR, July 29, 2026</w:t>
      </w:r>
    </w:p>
    <w:p>
      <w:pPr>
        <w:spacing w:before="20" w:after="20"/>
        <w:ind w:left="170"/>
      </w:pPr>
      <w:r>
        <w:rPr>
          <w:rFonts w:ascii="Calibri" w:hAnsi="Calibri"/>
          <w:b/>
          <w:color w:val="4A6B25"/>
          <w:sz w:val="15"/>
        </w:rPr>
        <w:t xml:space="preserve">2. </w:t>
      </w:r>
      <w:r>
        <w:rPr>
          <w:rFonts w:ascii="Calibri" w:hAnsi="Calibri"/>
          <w:b w:val="0"/>
          <w:color w:val="3A4A28"/>
          <w:sz w:val="17"/>
        </w:rPr>
        <w:t>Axogen Leadership, Mission, Culture — IR.AxogenInc.com, Glassdoor, MassDevice, 2024–2026</w:t>
      </w:r>
    </w:p>
    <w:p>
      <w:pPr>
        <w:spacing w:before="20" w:after="20"/>
        <w:ind w:left="170"/>
      </w:pPr>
      <w:r>
        <w:rPr>
          <w:rFonts w:ascii="Calibri" w:hAnsi="Calibri"/>
          <w:b/>
          <w:color w:val="4A6B25"/>
          <w:sz w:val="15"/>
        </w:rPr>
        <w:t xml:space="preserve">3. </w:t>
      </w:r>
      <w:r>
        <w:rPr>
          <w:rFonts w:ascii="Calibri" w:hAnsi="Calibri"/>
          <w:b w:val="0"/>
          <w:color w:val="3A4A28"/>
          <w:sz w:val="17"/>
        </w:rPr>
        <w:t>Axogen ESG Report and Corporate Responsibility — AxogenInc.com, ESG News</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AXGN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