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AXIA</w:t>
      </w:r>
      <w:r>
        <w:rPr>
          <w:rFonts w:ascii="Calibri" w:hAnsi="Calibri"/>
          <w:b/>
          <w:color w:val="1A2010"/>
          <w:sz w:val="40"/>
        </w:rPr>
        <w:t xml:space="preserve">  AXIA Energia SA</w:t>
      </w:r>
    </w:p>
    <w:p>
      <w:pPr>
        <w:spacing w:after="120"/>
      </w:pPr>
      <w:r>
        <w:rPr>
          <w:rFonts w:ascii="Calibri" w:hAnsi="Calibri"/>
          <w:b/>
          <w:color w:val="6E8450"/>
          <w:sz w:val="18"/>
        </w:rPr>
        <w:t>DIVIDEND SLEEVE · 2026-09-09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Utilities · Utilities - Renewable · NYSE · Brazil</w:t>
      </w:r>
    </w:p>
    <w:p>
      <w:pPr>
        <w:spacing w:after="80"/>
      </w:pPr>
      <w:r>
        <w:rPr>
          <w:rFonts w:ascii="Calibri" w:hAnsi="Calibri"/>
          <w:b w:val="0"/>
          <w:color w:val="3A4A28"/>
          <w:sz w:val="20"/>
        </w:rPr>
        <w:t>AXIA Energia SA (formerly Centrais Eletricas Brasileiras SA - Eletrobras) is the largest energy company in the Southern Hemisphere and the largest 100% renewable energy company in the region. Operating 44 hydroelectric plants with approximately 44 GW capacity and 67,031 km of transmission lines across Brazil, the company generates electricity through hydroelectric, wind, and solar plants. Privatized in 2022, AXIA is undergoing a CEO succession process with Ivan de Souza Monteiro's term ending April 2027. Q2 2026 adjusted regulatory EBITDA surged 21.5% YoY to R$6,683 million. Market cap approximately $29B.</w:t>
      </w:r>
    </w:p>
    <w:p>
      <w:r>
        <w:rPr>
          <w:rFonts w:ascii="Calibri" w:hAnsi="Calibri"/>
          <w:b/>
          <w:color w:val="6E8450"/>
          <w:sz w:val="18"/>
        </w:rPr>
        <w:t>7,168 Employees · https://www.axia.com.br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AXIA's primary transformation is the 2022 privatization, restructuring the company from a state-owned enterprise into a leaner private utility — Q4 2025 adjusted net income surged 141% YoY to R$1.25B, and total investments climbed 28% to R$3.9B [1]. Q1 2026 revenue grew 22% YoY with EPS of $0.2644 beating the $0.2318 forecast by 14% [1]. However, this is corporate restructuring, not product innovation. AI Deployment (1/2): AXIA selected C3 AI to deploy Grid Intelligence across its entire 66,539 km transmission network for real-time fault monitoring, reducing issue identification from hours to under 10 seconds [2]. The Eletro.ia program launched in 2024 applies AI at scale across operations. Market Share (2/2): AXIA is the dominant power utility in Brazil with 42,293 MW installed capacity and 66,539 km of transmission lines — effectively a near-monopolistic position in Brazilian power generation and transmission [1]. Pipeline (0/2): No specific next-generation capacity additions or new products with timelines publicly announced beyond general renewable expansion plans. R&amp;D Intensity (0/1): Utility R&amp;D spending is below industry average for the sector; innovation focus is on operational efficiency rather than breakthrough technology.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AXIA's articulated purpose — 'to catalyze business with its energy, contributing to a more sustainable, efficient, and competitive power system' — reflects genuine intentionality [2]. The name AXIA (meaning 'value' in Greek, evoking an 'axis' that connects and supports) was deliberately chosen to express purpose: being the axis that ensures solidity, predictability, and sustainable performance. The 60+ year history of powering Brazil's development through clean energy validates this purpose through execution. Community Impact (1/2): As Brazil's largest power utility serving the nation, AXIA has significant community impact through electrification and grid reliability. Included in B3's Corporate Sustainability Index (ISE B3) for 15 consecutive years and named best corporate reputation in Brazil's electricity sector by Merco [3]. Employee Retention (1/2): With 7,168 employees post-privatization (reduced from 12,000+), the workforce has been through substantial restructuring. The company has invested in governance, risk management, and compliance capabilities, and the Eletro.ia AI program suggests leadership is building new institutional norms [2]. Insider Buying (0/2): No evidence of meaningful insider buying identified in recent filings.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updated Q2 2026 metrics. D/E of 67.0% remains below the 70% target, scoring 1.0 [4]. ROE dropped to 5.45%, well below the 15% target, scoring 0.36 — the largest drag on the infrastructure score [4]. Revenue grew modestly at approximately 2% YoY in USD terms despite Q2 2026 EBITDA surging 21.5% in BRL, reflecting continued BRL/USD translation headwinds [1]. 5yr revenue CAGR of approximately -2.0% in USD continues to penalize the score due to currency depreciation rather than business weakness. Forward P/E of 12.85x is attractively valued well below the 20x target, scoring 1.0. Profit margin expanded significantly to 27.05% (up from 21.89% in the prior screen), exceeding the 20% target and scoring 1.0 [4]. Payout ratio of 41% is near the 40% target, scoring 0.98. Consecutive years paid (~20) scores 1.0 at 2x weight. Liquidity floor cleared: 1.34M avg vol x $10.36 = $13.9M daily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AXIA is in transition from a government-owned utility to a privately-run energy platform, making it both difficult and promising to assess infinite game qualities. The company's massive hydroelectric infrastructure gives it inherent longevity, and the deliberate AXIA rebrand signals intention to play a longer game. The structured CEO succession process — with a temporary Executive Vice Presidency under Elio Wolff created in June 2026 — demonstrates organizational maturity. However, the institutional culture is still evolving from decades of state ownership, and the worthy rivals dimension is structurally limited by its near-monopoly position.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AXIA's purpose of catalyzing business with clean energy has been validated by 60+ years of powering Brazil's development through the world's largest hydroelectric fleet [1][2]. The deliberate rebrand from Eletrobras to AXIA ('value' in Greek) and the articulated purpose of being 'the axis that ensures solidity, predictability, and sustainable performance' reflect genuine intentionality post-privatization [2]. Strategic decisions — investing R$3.9B in grid modernization, deploying C3 AI, maintaining 100% renewable generation — connect to this purpose. However, the cause was inherited from a national mandate rather than organically chosen by leadership.</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post-privatization restructuring reduced headcount from over 12,000 to 7,168, which disrupted organizational trust [2]. However, the company has invested in governance, risk management, and compliance, and the innovation-focused culture (Eletro.ia program, C3 AI deployment) suggests leadership is building new institutional norms. The workforce is still adapting to private-sector expectations after decades of state ownership.</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As a near-monopoly utility in Brazil, AXIA has limited meaningful domestic rivals to learn from. The company's competitive language focuses on operational benchmarks and ISE B3 sustainability rankings rather than learning from peer utilities globally [3].</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2022 privatization represents a transformative shift for the company, though driven by Brazilian government policy rather than the company's own strategic choice. Post-privatization, the company is diversifying into renewable energy (wind and solar) beyond its hydroelectric core, investing in grid modernization through AI, and rebranding as AXIA — showing incremental strategic evolution toward a modern energy platform.</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Post-privatization leadership has led aggressive cost restructuring, reducing headcount by 40%, while simultaneously increasing investment 28% to R$3.9B in Q4 2025 [1]. The C3 AI deployment across the entire transmission network demonstrates willingness to invest in technology transformation. The R$4B dividend distribution — the largest in company history — signals confidence in the business trajectory.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AXIA Energia is Latin America's largest power utility undergoing a compelling post-privatization transformation. Q2 2026 adjusted regulatory EBITDA surged 21.5% YoY to R$6,683 million driven by improved generation margins and disciplined cost management, while H1 2026 investments jumped 47% to R$4,472 million signaling aggressive capacity expansion [1]. At 12.85x forward P/E with a 6.73% dividend yield, the stock remains attractively valued for a utility with monopolistic infrastructure assets (44 GW capacity, 67,031 km transmission lines) in Brazil's growing economy [4]. Profit margin has expanded significantly to 27.05%, D/E of 67.0% is conservative for a utility, and the payout ratio has normalized to 41% [4]. The AI-powered grid modernization through C3 AI and diversification into wind/solar position AXIA for the global energy transition. Analysts have a consensus price target of $13.87 (33% upside) [4].</w:t>
      </w:r>
    </w:p>
    <w:p>
      <w:pPr>
        <w:spacing w:after="120"/>
      </w:pPr>
      <w:r>
        <w:rPr>
          <w:rFonts w:ascii="Calibri" w:hAnsi="Calibri"/>
          <w:b w:val="0"/>
          <w:color w:val="3A4A28"/>
          <w:sz w:val="20"/>
        </w:rPr>
        <w:t>The bear case centers on Brazilian country risk, currency exposure, and leadership transition. The BRL/USD exchange rate directly impacts USD-denominated returns — revenue growth of only ~2% YoY in USD terms understates BRL-denominated operational momentum [4]. The CEO succession process, with Ivan de Souza Monteiro's term ending April 2027, introduces leadership uncertainty during a critical growth investment period — a temporary Executive Vice Presidency under Elio Wolff was created in June 2026 to manage the transition [2]. ROE has declined to 5.45%, well below cost of equity for an emerging-market utility (~12-15%), indicating the company must significantly improve capital efficiency. The 5yr revenue CAGR of approximately -2.0% in USD terms reflects both BRL depreciation and modest organic growth. The government's retained golden share post-privatization creates governance risk, and the remaining R$10.8 billion in compulsory loan provisions as of Q2 2026 represent ongoing legal and financial overhang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Post-privatization earnings acceleration continuing — Q2 2026 EBITDA surged 21.5% YoY to R$6,683 million with H1 investments up 47% to R$4,472 million, signaling capacity expansion that should drive sustained earnings growth [1]</w:t>
      </w:r>
    </w:p>
    <w:p>
      <w:pPr>
        <w:spacing w:before="40" w:after="40"/>
        <w:ind w:left="283"/>
      </w:pPr>
      <w:r>
        <w:rPr>
          <w:rFonts w:ascii="Calibri" w:hAnsi="Calibri"/>
          <w:b/>
          <w:color w:val="4A6B25"/>
          <w:sz w:val="20"/>
        </w:rPr>
        <w:t xml:space="preserve">2. </w:t>
      </w:r>
      <w:r>
        <w:rPr>
          <w:rFonts w:ascii="Calibri" w:hAnsi="Calibri"/>
          <w:b w:val="0"/>
          <w:color w:val="3A4A28"/>
          <w:sz w:val="20"/>
        </w:rPr>
        <w:t>AI-powered grid modernization via C3 AI Grid Intelligence driving quantifiable operational efficiency across 67,031 km of transmission lines, reducing fault response from hours to seconds [2]</w:t>
      </w:r>
    </w:p>
    <w:p>
      <w:pPr>
        <w:spacing w:before="40" w:after="40"/>
        <w:ind w:left="283"/>
      </w:pPr>
      <w:r>
        <w:rPr>
          <w:rFonts w:ascii="Calibri" w:hAnsi="Calibri"/>
          <w:b/>
          <w:color w:val="4A6B25"/>
          <w:sz w:val="20"/>
        </w:rPr>
        <w:t xml:space="preserve">3. </w:t>
      </w:r>
      <w:r>
        <w:rPr>
          <w:rFonts w:ascii="Calibri" w:hAnsi="Calibri"/>
          <w:b w:val="0"/>
          <w:color w:val="3A4A28"/>
          <w:sz w:val="20"/>
        </w:rPr>
        <w:t>Brazilian energy transition — growing electricity demand from data center construction, industrial electrification, and population growth provides secular tailwind for AXIA's dominant generation and transmission platform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Brazilian currency and country risk — BRL depreciation compresses USD returns (revenue ~2% YoY in USD vs strong BRL growth), and political instability or regulatory changes could undermine post-privatization efficiency gains [4]</w:t>
      </w:r>
    </w:p>
    <w:p>
      <w:pPr>
        <w:spacing w:before="40" w:after="40"/>
        <w:ind w:left="283"/>
      </w:pPr>
      <w:r>
        <w:rPr>
          <w:rFonts w:ascii="Calibri" w:hAnsi="Calibri"/>
          <w:b/>
          <w:color w:val="4A6B25"/>
          <w:sz w:val="20"/>
        </w:rPr>
        <w:t xml:space="preserve">2. </w:t>
      </w:r>
      <w:r>
        <w:rPr>
          <w:rFonts w:ascii="Calibri" w:hAnsi="Calibri"/>
          <w:b w:val="0"/>
          <w:color w:val="3A4A28"/>
          <w:sz w:val="20"/>
        </w:rPr>
        <w:t>CEO succession uncertainty with Ivan de Souza Monteiro's term ending April 2027 and a transitional Executive Vice Presidency structure in place — leadership instability during a critical growth investment period with R$10.8B in compulsory loan provisions outstanding [2][3]</w:t>
      </w:r>
    </w:p>
    <w:p>
      <w:pPr>
        <w:spacing w:before="40" w:after="40"/>
        <w:ind w:left="283"/>
      </w:pPr>
      <w:r>
        <w:rPr>
          <w:rFonts w:ascii="Calibri" w:hAnsi="Calibri"/>
          <w:b/>
          <w:color w:val="4A6B25"/>
          <w:sz w:val="20"/>
        </w:rPr>
        <w:t xml:space="preserve">3. </w:t>
      </w:r>
      <w:r>
        <w:rPr>
          <w:rFonts w:ascii="Calibri" w:hAnsi="Calibri"/>
          <w:b w:val="0"/>
          <w:color w:val="3A4A28"/>
          <w:sz w:val="20"/>
        </w:rPr>
        <w:t>ROE of 5.45% remains well below emerging-market cost of equity (~12-15%), indicating the company must significantly improve capital efficiency to sustain its current valuation and justify the investor confidence reflected in analyst price targets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Electric power generation and transmission is physical infrastructure that AI structurally cannot displace — hydroelectric dams, nuclear plants, transmission lines, and substations require massive capital-intensive physical assets [1]. AI-driven demand from data centers is a net tailwind for utilities, increasing electricity consumption. Brazil's growing economy and electrification needs ensure sustained demand for AXIA's output. The modest risk comes from distributed generation and behind-the-meter solar potentially eroding centralized utility demand over the long term. AI Opportunity (1/1): AXIA is actively deploying C3 AI Grid Intelligence for real-time fault monitoring across its entire 66,539 km transmission network, reducing response times from hours to under 10 seconds [2]. The Eletro.ia program demonstrates quantifiable AI-driven operational efficiency across the organization.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AXIA Energia Q2 2026 Earnings — EBITDA R$6,683M (+21.5% YoY), H1 investments R$4,472M (+47%), Q1 EPS $0.2644 (+14% beat), TTM revenue R$42.6B, via Investing.com, August 2026</w:t>
      </w:r>
    </w:p>
    <w:p>
      <w:pPr>
        <w:spacing w:before="20" w:after="20"/>
        <w:ind w:left="170"/>
      </w:pPr>
      <w:r>
        <w:rPr>
          <w:rFonts w:ascii="Calibri" w:hAnsi="Calibri"/>
          <w:b/>
          <w:color w:val="4A6B25"/>
          <w:sz w:val="15"/>
        </w:rPr>
        <w:t xml:space="preserve">2. </w:t>
      </w:r>
      <w:r>
        <w:rPr>
          <w:rFonts w:ascii="Calibri" w:hAnsi="Calibri"/>
          <w:b w:val="0"/>
          <w:color w:val="3A4A28"/>
          <w:sz w:val="17"/>
        </w:rPr>
        <w:t>AXIA Energia CEO Succession and Innovation — CEO term ending April 2027, Executive VP transition under Elio Wolff, C3 AI Grid Intelligence, Eletro.ia program, SEC Form 6-K, June 2026</w:t>
      </w:r>
    </w:p>
    <w:p>
      <w:pPr>
        <w:spacing w:before="20" w:after="20"/>
        <w:ind w:left="170"/>
      </w:pPr>
      <w:r>
        <w:rPr>
          <w:rFonts w:ascii="Calibri" w:hAnsi="Calibri"/>
          <w:b/>
          <w:color w:val="4A6B25"/>
          <w:sz w:val="15"/>
        </w:rPr>
        <w:t xml:space="preserve">3. </w:t>
      </w:r>
      <w:r>
        <w:rPr>
          <w:rFonts w:ascii="Calibri" w:hAnsi="Calibri"/>
          <w:b w:val="0"/>
          <w:color w:val="3A4A28"/>
          <w:sz w:val="17"/>
        </w:rPr>
        <w:t>AXIA Energia ESG and Corporate Governance — Updated Code of Conduct, compulsory loan provision R$10.8B, ISE B3 15 consecutive years, SEC filings and ESG reports, 2025-2026</w:t>
      </w:r>
    </w:p>
    <w:p>
      <w:pPr>
        <w:spacing w:before="20" w:after="20"/>
        <w:ind w:left="170"/>
      </w:pPr>
      <w:r>
        <w:rPr>
          <w:rFonts w:ascii="Calibri" w:hAnsi="Calibri"/>
          <w:b/>
          <w:color w:val="4A6B25"/>
          <w:sz w:val="15"/>
        </w:rPr>
        <w:t xml:space="preserve">4. </w:t>
      </w:r>
      <w:r>
        <w:rPr>
          <w:rFonts w:ascii="Calibri" w:hAnsi="Calibri"/>
          <w:b w:val="0"/>
          <w:color w:val="3A4A28"/>
          <w:sz w:val="17"/>
        </w:rPr>
        <w:t>StockAnalysis.com, Simply Wall St, Investing.com — AXIA key statistics: $10.36 price, 6.73% yield, 67.0% D/E, 5.45% ROE, 27.05% margin, Forward P/E 12.85x,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