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AXTA</w:t>
      </w:r>
      <w:r>
        <w:rPr>
          <w:rFonts w:ascii="Calibri" w:hAnsi="Calibri"/>
          <w:b/>
          <w:color w:val="1A2010"/>
          <w:sz w:val="40"/>
        </w:rPr>
        <w:t xml:space="preserve">  Axalta Coating Systems Ltd.</w:t>
      </w:r>
    </w:p>
    <w:p>
      <w:pPr>
        <w:spacing w:after="120"/>
      </w:pPr>
      <w:r>
        <w:rPr>
          <w:rFonts w:ascii="Calibri" w:hAnsi="Calibri"/>
          <w:b/>
          <w:color w:val="6E8450"/>
          <w:sz w:val="18"/>
        </w:rPr>
        <w:t>GROWTH SLEEVE · 2026-09-02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Axalta Coating Systems is a global leader in performance and transportation coatings, serving over 100,000 customers in 130+ countries. The company manufactures refinish (automotive body shop), industrial, and light vehicle OEM coatings. Originally spun off from DuPont in 2013, Axalta reported Q2 2026 record adjusted EBITDA of $305M at a 22.7% margin with 3% YoY revenue growth [1]. CEO Chris Villavarayan has driven consistent margin expansion since his appointment. A transformative development: shareholders approved an all-stock merger of equals with AkzoNobel on August 5, 2026, creating a premier global coatings company with ~55%/45% AkzoNobel/Axalta ownership split, expected to close late 2026 to early 2027 [3].</w:t>
      </w:r>
    </w:p>
    <w:p>
      <w:r>
        <w:rPr>
          <w:rFonts w:ascii="Calibri" w:hAnsi="Calibri"/>
          <w:b/>
          <w:color w:val="6E8450"/>
          <w:sz w:val="18"/>
        </w:rPr>
        <w:t>13,000 Employees · https://www.axalta.com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Axalta has executed steady operational improvement over the past 5 years, driving EBITDA margins from ~19% to a record 22.7% in Q2 2026 through pricing discipline and product mix optimization [1]. However, the company has not launched transformative new products or pivoted its business model — it remains focused on refinish and industrial coatings as it has for decades. The AkzoNobel merger is a significant corporate event but represents consolidation, not product innovation. AI Deployment (0/2): No evidence of AI-powered products shipping to customers or specific AI-driven internal cost savings quantified in earnings calls or public materials. Axalta's operations remain traditional specialty chemical manufacturing and distribution. Market Share (2/2): Axalta holds a global leadership position in refinish coatings (automotive aftermarket repair), serving over 100,000 body shops worldwide with established brands like Cromax, Standox, and Spies Hecker [1][4]. The company is one of three global leaders (with PPG and AkzoNobel) in refinish coatings, and the merger with AkzoNobel will create the #1 global coatings platform. Product Pipeline (0/2): No specific next-generation products with named launch dates and revenue visibility were identified. Axalta continues to develop waterborne and sustainable coatings formulations, but these are incremental evolution rather than named pipeline products. R&amp;D Intensity (1/1): Axalta maintains R&amp;D facilities across multiple continents and invests approximately 2.5-3% of revenue in R&amp;D, in line with specialty chemicals industry norms, with focus on sustainable coatings and color technology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Axalta describes its purpose as helping customers 'enhance products, improve processes, and make what matters protected and beautiful' — clear about what the company does and for whom, but not distinctive or inspiring beyond the functional [4]. The statement is interchangeable with any specialty coatings competitor and does not articulate a deeper purpose that connects the company's work to something larger than coatings quality. Community Impact (0/2): No specific evidence of distinctive charitable programs, community investment initiatives, or foundation activity was found beyond standard corporate philanthropy. ESG reporting covers environmental commitments (carbon neutral by 2040, Responsible Care member) but not community-scale impact [4]. Employee Retention (0/2): Glassdoor reviews describe an 'extremely old school' DuPont-legacy culture with cost-cutting that replaces experienced personnel with lower-cost employees [4]. No specific retention metrics, tenure data, or employee satisfaction data was identified. The culture description suggests average-to-below-average retention dynamics. Insider Buying (0/2): No evidence of meaningful net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Axalta demonstrates solid financial infrastructure with notable strengths in valuation (Forward P/E 10.57, well below the 20x target) and PEG ratio (1.11, near the 1.0 target for growth stocks, scoring 0.95 with 2x weight) [5]. ROE of 21.33% exceeds the 15% target, scoring full marks with 2x weight. D/E of 146% is elevated but within workable range (score 0.67 on the floor-to-target scale). Revenue growth is the primary drag — YoY growth of approximately 2% (Q2 2026 +3%, Q1 -1%) is well below the 10% target, and estimated 5yr CAGR of ~5% is also below target [1][2]. Profit margin of 8.81% is below the 20% target, reflecting the capital-intensive nature of specialty chemical manufacturing. The stock easily clears the liquidity floor with daily dollar volume of approximately $61M (1.68M shares × $36.41)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Axalta operates with a predominantly finite-game mindset — the company is well-managed and executing effectively on operational metrics, but it lacks a compelling just cause, its culture retains legacy DuPont rigidity, and the AkzoNobel merger is motivated by scale economics rather than purpose-driven transformation. CEO Villavarayan's tenure is characterized by margin improvement and operational discipline rather than bold vision. Sinek would see a company optimizing the current game rather than building for perpetuity [1][4].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Axalta's purpose — enhancing and protecting surfaces — is functional rather than aspirational. There is no articulated vision of a future state that inspires sacrifice or invites others to contribute. The company exists to make quality coatings and deliver shareholder returns. The AkzoNobel merger language ('creating a premier global coatings company') is about competitive positioning, not a just cause [3][4]. Sinek would note that Axalta defines itself by what it does (coatings) rather than why it does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organization with leadership continuity under CEO Villavarayan and a track record of consistent execution. However, Glassdoor reviews describe an 'extremely old school' culture entrenched in DuPont-era practices, with cost-cutting that replaces experienced employees with lower-cost hires [4]. The culture is described as focused on monthly goals rather than long-term growth, suggesting a managed-by-metrics environment rather than Sinek's Circle of Safety. No evidence of exceptional trust, empowerment, or cultural distinction.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AkzoNobel merger is framed as creating a 'premier global coatings company' — competitive language focused on being the biggest and best, a finite-game framing [3]. No evidence of management commentary acknowledging competitors' strengths as motivation for self-improvement. The merger consolidates the competitive landscape rather than embracing competitive tension as a growth catalyst.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Axalta has evolved from a DuPont division (2013 spinoff) to an independent public company, and is now merging with AkzoNobel to create a combined global platform [3]. These are significant corporate structure changes, but within the same industry — the company has always been and remains a coatings manufacturer. The evolution is incremental strategic adaptation, not the kind of transformative reinvention Sinek highlights (Apple Mac→iPhone, NVDA gaming→AI).</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AkzoNobel merger is a consequential strategic bet — merging with a larger European competitor to create global scale, accepting integration risk and cultural complexity. CEO Villavarayan has also demonstrated willingness to prioritize margin quality over revenue growth (Q1 2026 revenue declined 1% while EBITDA margin expanded) [1][2]. However, these are strategic optimization decisions within a comfort zone rather than the kind of costly long-term bets that Sinek identifies as true courage (investing during downturns, walking away from profitable but misaligned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Axalta at 10.57x forward earnings offers compelling value for a global coatings leader with improving profitability — Q2 2026 delivered record EBITDA of $305M at a 22.7% margin with adjusted EPS of $0.72 (+13% YoY), demonstrating sustained operational excellence under CEO Villavarayan [1]. The pending AkzoNobel merger (approved by both sets of shareholders on August 5, 2026) creates a premier global coatings platform with significant cost synergy potential, with Axalta shareholders receiving 0.6539 AkzoNobel shares per AXTA share [3]. The PEG ratio of 1.11 and ROE of 21.33% indicate disciplined capital efficiency, and the company's leadership position in refinish coatings (100,000+ body shops served globally) provides a durable competitive moat [5]. The strong Inspire Impact Score of 62 (ALIGNED) with 14 positive attributions and no negatives makes this suitable for faith-based portfolio consideration.</w:t>
      </w:r>
    </w:p>
    <w:p>
      <w:pPr>
        <w:spacing w:after="120"/>
      </w:pPr>
      <w:r>
        <w:rPr>
          <w:rFonts w:ascii="Calibri" w:hAnsi="Calibri"/>
          <w:b w:val="0"/>
          <w:color w:val="3A4A28"/>
          <w:sz w:val="20"/>
        </w:rPr>
        <w:t>The bear case centers on limited organic growth, merger execution risk, and low innovation. Revenue grew just 2% on a blended H1 2026 basis (Q1 -1%, Q2 +3%), and the 5-year CAGR of ~5% indicates Axalta is a mature business with limited organic growth levers [1][2]. The AkzoNobel merger introduces significant execution risk — integrating two global coatings companies across 130+ countries with different cultures (American operational efficiency vs. European corporate governance) could distract management and erode the margin gains that define Axalta's investment case [3]. Profit margin of 8.81% is below the IOWN 20% target, reflecting the capital-intensive nature of specialty chemicals. The 'old school' DuPont-legacy culture and weak innovation profile (no AI deployment, no transformative pipeline) limit long-term upside potential. The merger also creates regulatory risk if antitrust authorities require significant divestitures in overlapping refinish markets. D/E of 146% is elevated for a merger candidate, and integration could strain the balance sheet further.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AkzoNobel merger closing (late 2026/early 2027) could unlock significant cost synergies and re-rate the combined entity as the global #1 coatings platform, with Axalta shareholders owning ~45% of the combined company [3]</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 Adj. EBITDA margin reached a record 22.7% in Q2 2026, and management's focus on pricing discipline and product mix optimization suggests further improvement is achievable [1]</w:t>
      </w:r>
    </w:p>
    <w:p>
      <w:pPr>
        <w:spacing w:before="40" w:after="40"/>
        <w:ind w:left="283"/>
      </w:pPr>
      <w:r>
        <w:rPr>
          <w:rFonts w:ascii="Calibri" w:hAnsi="Calibri"/>
          <w:b/>
          <w:color w:val="4A6B25"/>
          <w:sz w:val="20"/>
        </w:rPr>
        <w:t xml:space="preserve">3. </w:t>
      </w:r>
      <w:r>
        <w:rPr>
          <w:rFonts w:ascii="Calibri" w:hAnsi="Calibri"/>
          <w:b w:val="0"/>
          <w:color w:val="3A4A28"/>
          <w:sz w:val="20"/>
        </w:rPr>
        <w:t>Automotive refinish demand recovery as the global vehicle fleet ages and collision repair volumes normalize, supporting Axalta's core refinish business which commands premium pricing and recurring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AkzoNobel merger execution risk — integrating two global coatings companies across 130+ countries with different corporate cultures could destroy the operational efficiency gains that define Axalta's investment thesis [3]</w:t>
      </w:r>
    </w:p>
    <w:p>
      <w:pPr>
        <w:spacing w:before="40" w:after="40"/>
        <w:ind w:left="283"/>
      </w:pPr>
      <w:r>
        <w:rPr>
          <w:rFonts w:ascii="Calibri" w:hAnsi="Calibri"/>
          <w:b/>
          <w:color w:val="4A6B25"/>
          <w:sz w:val="20"/>
        </w:rPr>
        <w:t xml:space="preserve">2. </w:t>
      </w:r>
      <w:r>
        <w:rPr>
          <w:rFonts w:ascii="Calibri" w:hAnsi="Calibri"/>
          <w:b w:val="0"/>
          <w:color w:val="3A4A28"/>
          <w:sz w:val="20"/>
        </w:rPr>
        <w:t>Limited organic revenue growth (2% blended H1 2026) in a mature coatings industry where volume growth is tied to GDP and automotive production, making the company dependent on pricing and mix for earnings growth [1][2]</w:t>
      </w:r>
    </w:p>
    <w:p>
      <w:pPr>
        <w:spacing w:before="40" w:after="40"/>
        <w:ind w:left="283"/>
      </w:pPr>
      <w:r>
        <w:rPr>
          <w:rFonts w:ascii="Calibri" w:hAnsi="Calibri"/>
          <w:b/>
          <w:color w:val="4A6B25"/>
          <w:sz w:val="20"/>
        </w:rPr>
        <w:t xml:space="preserve">3. </w:t>
      </w:r>
      <w:r>
        <w:rPr>
          <w:rFonts w:ascii="Calibri" w:hAnsi="Calibri"/>
          <w:b w:val="0"/>
          <w:color w:val="3A4A28"/>
          <w:sz w:val="20"/>
        </w:rPr>
        <w:t>Antitrust regulatory risk — the combination of the #1 and #3 global refinish coatings companies could require material divestitures in overlapping markets, reducing the synergy value of the merger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Axalta's core business — manufacturing and distributing specialty coatings — is fundamentally protected from AI disruption. The business involves physical chemistry, formulation science, pigment technology, and global distribution infrastructure that AI cannot replicate or substitute [1][4]. Refinish coatings require physical application by trained technicians in body shops; industrial coatings require specific chemical performance characteristics (corrosion resistance, UV protection, adhesion). These are physical-world products with regulatory certifications, proprietary formulations, and deep customer relationships built over decades. AI may incrementally improve Axalta's R&amp;D process (faster formulation development) or supply chain efficiency, but it cannot displace the core product. The AkzoNobel merger will further strengthen moats through scale and patent portfolio combination [3]. AI Opportunity (0/1): No evidence of AI-driven revenue generation. Axalta does not sell AI products or report AI-embedded revenue. The company's innovation focus remains on traditional chemistry and formulation science.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Axalta Q2 2026 Earnings Release — Net Sales +3% YoY, Record Adj. EBITDA $305M, Margin 22.7%, Adj. EPS $0.72 (+13% YoY), July 2026</w:t>
      </w:r>
    </w:p>
    <w:p>
      <w:pPr>
        <w:spacing w:before="20" w:after="20"/>
        <w:ind w:left="170"/>
      </w:pPr>
      <w:r>
        <w:rPr>
          <w:rFonts w:ascii="Calibri" w:hAnsi="Calibri"/>
          <w:b/>
          <w:color w:val="4A6B25"/>
          <w:sz w:val="15"/>
        </w:rPr>
        <w:t xml:space="preserve">2. </w:t>
      </w:r>
      <w:r>
        <w:rPr>
          <w:rFonts w:ascii="Calibri" w:hAnsi="Calibri"/>
          <w:b w:val="0"/>
          <w:color w:val="3A4A28"/>
          <w:sz w:val="17"/>
        </w:rPr>
        <w:t>Axalta Q1 2026 Earnings Release — Revenue $1.25B (-1% YoY), Adj. EPS $0.56, Adj. EBITDA $259M, Margin 20.6%, April 2026</w:t>
      </w:r>
    </w:p>
    <w:p>
      <w:pPr>
        <w:spacing w:before="20" w:after="20"/>
        <w:ind w:left="170"/>
      </w:pPr>
      <w:r>
        <w:rPr>
          <w:rFonts w:ascii="Calibri" w:hAnsi="Calibri"/>
          <w:b/>
          <w:color w:val="4A6B25"/>
          <w:sz w:val="15"/>
        </w:rPr>
        <w:t xml:space="preserve">3. </w:t>
      </w:r>
      <w:r>
        <w:rPr>
          <w:rFonts w:ascii="Calibri" w:hAnsi="Calibri"/>
          <w:b w:val="0"/>
          <w:color w:val="3A4A28"/>
          <w:sz w:val="17"/>
        </w:rPr>
        <w:t>AkzoNobel-Axalta Merger of Equals — All-Stock Deal, 0.6539 Exchange Ratio, Shareholders Approved Aug 5, 2026, Closing Late 2026/Early 2027, November 2025-August 2026</w:t>
      </w:r>
    </w:p>
    <w:p>
      <w:pPr>
        <w:spacing w:before="20" w:after="20"/>
        <w:ind w:left="170"/>
      </w:pPr>
      <w:r>
        <w:rPr>
          <w:rFonts w:ascii="Calibri" w:hAnsi="Calibri"/>
          <w:b/>
          <w:color w:val="4A6B25"/>
          <w:sz w:val="15"/>
        </w:rPr>
        <w:t xml:space="preserve">4. </w:t>
      </w:r>
      <w:r>
        <w:rPr>
          <w:rFonts w:ascii="Calibri" w:hAnsi="Calibri"/>
          <w:b w:val="0"/>
          <w:color w:val="3A4A28"/>
          <w:sz w:val="17"/>
        </w:rPr>
        <w:t>Axalta Leadership, Culture, and ESG — CEO Chris Villavarayan, Glassdoor/Comparably Reviews, Carbon Neutral 2040 Goal, Responsible Care Member</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AXTA Key Statistics: Forward P/E 10.57, PEG 1.11, ROE 21.33%, D/E 146%, Market Cap $7.66B, Avg Volume 1.68M,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