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AZTR</w:t>
      </w:r>
      <w:r>
        <w:rPr>
          <w:rFonts w:ascii="Calibri" w:hAnsi="Calibri"/>
          <w:b/>
          <w:color w:val="1A2010"/>
          <w:sz w:val="40"/>
        </w:rPr>
        <w:t xml:space="preserve">  Azitra, Inc.</w:t>
      </w:r>
    </w:p>
    <w:p>
      <w:pPr>
        <w:spacing w:after="120"/>
      </w:pPr>
      <w:r>
        <w:rPr>
          <w:rFonts w:ascii="Calibri" w:hAnsi="Calibri"/>
          <w:b/>
          <w:color w:val="6E8450"/>
          <w:sz w:val="18"/>
        </w:rPr>
        <w:t>GROWTH SLEEVE · 2026-10-05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ASE · United States</w:t>
      </w:r>
    </w:p>
    <w:p>
      <w:pPr>
        <w:spacing w:after="80"/>
      </w:pPr>
      <w:r>
        <w:rPr>
          <w:rFonts w:ascii="Calibri" w:hAnsi="Calibri"/>
          <w:b w:val="0"/>
          <w:color w:val="3A4A28"/>
          <w:sz w:val="20"/>
        </w:rPr>
        <w:t>Azitra is a clinical-stage biopharmaceutical company engineering living bacteria and proteins as precision dermatology therapeutics, leveraging a proprietary microbial library platform and a Bayer partnership. Lead candidate ATR-12 (engineered S. epidermidis) targets Netherton syndrome with Phase 1b topline data anticipated H2 2026. ATR-04 completed Cohort 1 of its Phase 1/2 trial for EGFR-inhibitor-associated rash with positive safety review and is proceeding to Cohort 2. Pre-revenue with Q2 2026 net loss of $3.3M and $6.7M in cash. Headquartered in Branford, Connecticut.</w:t>
      </w:r>
    </w:p>
    <w:p>
      <w:r>
        <w:rPr>
          <w:rFonts w:ascii="Calibri" w:hAnsi="Calibri"/>
          <w:b/>
          <w:color w:val="6E8450"/>
          <w:sz w:val="18"/>
        </w:rPr>
        <w:t>13 Employees · https://azitrainc.com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Azitra has no commercial product launches and no completed business-model pivot; its clinical programs are advancing — ATR-04 completed Cohort 1 with positive safety review in October 2026 and is proceeding to Cohort 2, while ATR-12 Phase 1b enrollment continues — but this represents incremental pipeline progress rather than a proven transformation [1][2]. AI Deployment (0/2): Despite describing its platform as combining 'artificial intelligence and a proprietary microbial library,' no evidence of AI-powered products shipping to customers or quantified AI-driven efficiency gains was found [3]. Market Share (0/2): As a pre-commercial company with no approved products, Azitra has no market share. Product Pipeline (2/2): Specific, named programs with concrete near-term catalysts — ATR-12 Phase 1b topline data expected H2 2026 for Netherton syndrome (zero approved treatments), ATR-04 Phase 1/2 Cohort 1 complete with Cohort 2 dosing initiated at MD Anderson Cancer Center, and ATR-01 in IND-enabling for ichthyosis vulgaris [1][2]. R&amp;D Intensity (1/1): As a pre-revenue clinical-stage biotech, essentially all of Azitra's operating spend is R&amp;D-directed, placing it at the top of the industry distribution.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Azitra's focus on engineering living organisms to treat rare skin diseases with no approved treatment options — specifically Netherton syndrome — is a specific, thoughtful mission addressing genuine unmet medical need, reinforced by the extension to cancer patients' quality of life through the ATR-04 EGFR-inhibitor rash program [1][3]. The mission reflects intentionality and differentiates from generic biotech peers. Community Impact (0/2): No evidence of charitable or community programs, unsurprising for a 13-person pre-revenue company. Employee Retention (0/2): No employee retention or tenure data is available for this 13-person clinical-stage company. Insider Buying (1/2): CEO Francisco Salva converted 500 shares of Series A Preferred into 4,064,050 shares of common stock in June 2026, building to a 9.99% beneficial ownership stake — this reflects conversion of an existing security rather than a new open-market cash purchase, warranting neutral rather than full credit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dollar volume is approximately $230,192 (1,743,881 shares x $0.132), well below the $1,000,000 threshold required for IOWN tradability. Per the hard rule, Infrastructure score is set to 0 regardless of all other metrics. Azitra is pre-revenue with ROE of -256.7%, zero profit margin, and a rapidly depleting cash position ($6.7M at June 30, 2026, down from $10.1M at March 31, 2026, implying roughly two quarters of runway at the current $3.3M quarterly burn rate). D/E of 5.6% reflects minimal debt (typical of small clinical-stage biotechs funded by equity issuance), but heavy share dilution continues to erode per-share value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Azitra is pursuing a genuine unmet medical need — Netherton syndrome has no approved treatment — which gives its mission real substance, but the company's severe financial constraints ($6.7M cash with $3.3M quarterly burn, heavy share dilution, and a CEO-issued 'strategic reorientation' letter) point to survival-mode decision-making rather than the sustained, values-driven execution Sinek's framework rewards. This is a company fighting for its next data readout and financing round, not one demonstrating infinite-game discipline.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Treating Netherton syndrome, a rare disease with no approved therapy, is a genuine, service-oriented cause connected directly to the company's lead program, and the ATR-04 program extends the mission to cancer patients' quality of life through EGFR-inhibitor rash treatment [1][3]. However, the cause has not been tested through a market cycle or crisis with the company intact, and the 2026 'strategic reorientation' suggests strategy is driven by financial necessity as much as by the mission.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employee culture, tenure, or retention data is available for this 13-person organization, and the absence of any positive signal combined with visible financial distress does not support crediting a high-trust environment.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public commentary was found describing Azitra's competitive posture toward other microbiome therapeutics developers such as Seres Therapeutics or Vedanta Biosciences.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CEO Francisco Salva's 2026 shareholder letter detailing 'strategic reorientation initiatives' and the company's positioning at the 'intersection of synthetic biology, artificial intelligence and next-generation biological manufacturing' signals willingness to adapt, though the pivot appears driven by financial necessity rather than cause-driven reinvention [3][4].</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choosing costly long-term investment over short-term survival; the observable pattern — continuing dilution, declining cash from $10.1M to $6.7M in one quarter, and a strategic reorientation announcement — points to decisions driven by capital constraints rather than principled long-term bets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Azitra is a micro-cap clinical-stage biotech with a scientifically distinctive platform — engineered living bacteria delivered topically for precision dermatology — pursuing genuine unmet needs in Netherton syndrome (zero approved therapies) and EGFR-inhibitor rash in oncology patients [1][3]. Two binary catalysts are imminent: ATR-12 Phase 1b topline data expected H2 2026, and ATR-04 Phase 1/2 Cohort 1 completed with positive safety review and Cohort 2 now dosing at MD Anderson Cancer Center [2]. The Bayer partnership for S. epidermidis strain characterization adds credibility to the platform technology. A clean balance sheet with minimal debt (D/E 5.6%) at least means the company carries no leverage risk atop clinical and financing risk.</w:t>
      </w:r>
    </w:p>
    <w:p>
      <w:pPr>
        <w:spacing w:after="120"/>
      </w:pPr>
      <w:r>
        <w:rPr>
          <w:rFonts w:ascii="Calibri" w:hAnsi="Calibri"/>
          <w:b w:val="0"/>
          <w:color w:val="3A4A28"/>
          <w:sz w:val="20"/>
        </w:rPr>
        <w:t>The bear case dominates. Azitra fails the IOWN liquidity floor — daily dollar volume of approximately $230,000 is a fraction of the $1,000,000 minimum required for institutional tradability, driving Infrastructure score to a hard zero. The company is pre-revenue with an accelerating cash burn: $6.7M in cash at June 30, 2026 (down from $10.1M at March 31), implying approximately two quarters of runway at the $3.3M quarterly burn rate [1]. Further financing at increasingly dilutive terms is near-certain, and prior dilution has been extreme. The CEO's 'strategic reorientation' letter signals survival-mode decision-making. Any clinical setback on ATR-12 or ATR-04 would likely be existential given the depleted cash position. With an $8M market cap, 13 employees, zero revenue, negative ROE of -256.7%, and a penny stock share price, this is a name suitable only for investors with very high risk tolerance who understand binary clinical outcomes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ATR-12 Phase 1b topline data for Netherton syndrome expected H2 2026 — a positive readout would be the company's first clinical validation of its engineered-bacteria platform in its lead rare disease indication [1]</w:t>
      </w:r>
    </w:p>
    <w:p>
      <w:pPr>
        <w:spacing w:before="40" w:after="40"/>
        <w:ind w:left="283"/>
      </w:pPr>
      <w:r>
        <w:rPr>
          <w:rFonts w:ascii="Calibri" w:hAnsi="Calibri"/>
          <w:b/>
          <w:color w:val="4A6B25"/>
          <w:sz w:val="20"/>
        </w:rPr>
        <w:t xml:space="preserve">2. </w:t>
      </w:r>
      <w:r>
        <w:rPr>
          <w:rFonts w:ascii="Calibri" w:hAnsi="Calibri"/>
          <w:b w:val="0"/>
          <w:color w:val="3A4A28"/>
          <w:sz w:val="20"/>
        </w:rPr>
        <w:t>ATR-04 Phase 1/2 advancing to Cohort 2 after positive safety review in Cohort 1 (October 2026), enrolling at MD Anderson Cancer Center, extending platform validation into oncology supportive care [2]</w:t>
      </w:r>
    </w:p>
    <w:p>
      <w:pPr>
        <w:spacing w:before="40" w:after="40"/>
        <w:ind w:left="283"/>
      </w:pPr>
      <w:r>
        <w:rPr>
          <w:rFonts w:ascii="Calibri" w:hAnsi="Calibri"/>
          <w:b/>
          <w:color w:val="4A6B25"/>
          <w:sz w:val="20"/>
        </w:rPr>
        <w:t xml:space="preserve">3. </w:t>
      </w:r>
      <w:r>
        <w:rPr>
          <w:rFonts w:ascii="Calibri" w:hAnsi="Calibri"/>
          <w:b w:val="0"/>
          <w:color w:val="3A4A28"/>
          <w:sz w:val="20"/>
        </w:rPr>
        <w:t>Execution of CEO's 'strategic reorientation' — potential partnerships, licensing deals, or capital raises that could extend runway beyond the current ~2-quarter cash cushion and validate the platform technology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Liquidity floor failure — daily dollar volume of ~$230,000 is far below the $1,000,000 IOWN threshold, making the stock untradeable at institutional scale and driving Infrastructure to zero</w:t>
      </w:r>
    </w:p>
    <w:p>
      <w:pPr>
        <w:spacing w:before="40" w:after="40"/>
        <w:ind w:left="283"/>
      </w:pPr>
      <w:r>
        <w:rPr>
          <w:rFonts w:ascii="Calibri" w:hAnsi="Calibri"/>
          <w:b/>
          <w:color w:val="4A6B25"/>
          <w:sz w:val="20"/>
        </w:rPr>
        <w:t xml:space="preserve">2. </w:t>
      </w:r>
      <w:r>
        <w:rPr>
          <w:rFonts w:ascii="Calibri" w:hAnsi="Calibri"/>
          <w:b w:val="0"/>
          <w:color w:val="3A4A28"/>
          <w:sz w:val="20"/>
        </w:rPr>
        <w:t>Imminent cash runway exhaustion — $6.7M cash against $3.3M quarterly burn implies ~2 quarters of runway; further capital raises will likely be on heavily dilutive terms given the penny-stock share price and $8M market cap [1]</w:t>
      </w:r>
    </w:p>
    <w:p>
      <w:pPr>
        <w:spacing w:before="40" w:after="40"/>
        <w:ind w:left="283"/>
      </w:pPr>
      <w:r>
        <w:rPr>
          <w:rFonts w:ascii="Calibri" w:hAnsi="Calibri"/>
          <w:b/>
          <w:color w:val="4A6B25"/>
          <w:sz w:val="20"/>
        </w:rPr>
        <w:t xml:space="preserve">3. </w:t>
      </w:r>
      <w:r>
        <w:rPr>
          <w:rFonts w:ascii="Calibri" w:hAnsi="Calibri"/>
          <w:b w:val="0"/>
          <w:color w:val="3A4A28"/>
          <w:sz w:val="20"/>
        </w:rPr>
        <w:t>Binary clinical trial risk on both lead programs (ATR-12, ATR-04) with data expected in overlapping windows; a negative readout on either could be existential given the company's limited financial cushion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Azitra's business — engineering living biologic therapeutics through a proprietary microbial library and advancing them through FDA-regulated clinical trials — sits behind structural moats (biological product complexity, regulated clinical development, cGMP manufacturing know-how) that AI cannot directly replace [3]. The physical nature of topical live biotherapeutic products and the regulatory requirements for clinical trials create defensible barriers. However, no analyst commentary specific to Azitra's AI disruption risk was identified, and AI-assisted drug discovery tools could theoretically accelerate competitors' programs in the microbiome therapeutics space, warranting a mid-range rather than top-tier score. AI Opportunity (0/1): While the company describes its platform as combining 'artificial intelligence and a proprietary microbial library,' no quantified AI-related revenue or specific AI drug discovery capabilities were identified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Azitra Q2 2026 Results — Net Loss $3.3M, Cash $6.7M, Pipeline Updates — SEC 8-K, Nasdaq Press Release, August 2026</w:t>
      </w:r>
    </w:p>
    <w:p>
      <w:pPr>
        <w:spacing w:before="20" w:after="20"/>
        <w:ind w:left="170"/>
      </w:pPr>
      <w:r>
        <w:rPr>
          <w:rFonts w:ascii="Calibri" w:hAnsi="Calibri"/>
          <w:b/>
          <w:color w:val="4A6B25"/>
          <w:sz w:val="15"/>
        </w:rPr>
        <w:t xml:space="preserve">2. </w:t>
      </w:r>
      <w:r>
        <w:rPr>
          <w:rFonts w:ascii="Calibri" w:hAnsi="Calibri"/>
          <w:b w:val="0"/>
          <w:color w:val="3A4A28"/>
          <w:sz w:val="17"/>
        </w:rPr>
        <w:t>Azitra ATR-04 Phase 1/2 Update — Cohort 1 Completed, Positive Safety Review, Proceeding to Cohort 2 — GuruFocus, October 2026</w:t>
      </w:r>
    </w:p>
    <w:p>
      <w:pPr>
        <w:spacing w:before="20" w:after="20"/>
        <w:ind w:left="170"/>
      </w:pPr>
      <w:r>
        <w:rPr>
          <w:rFonts w:ascii="Calibri" w:hAnsi="Calibri"/>
          <w:b/>
          <w:color w:val="4A6B25"/>
          <w:sz w:val="15"/>
        </w:rPr>
        <w:t xml:space="preserve">3. </w:t>
      </w:r>
      <w:r>
        <w:rPr>
          <w:rFonts w:ascii="Calibri" w:hAnsi="Calibri"/>
          <w:b w:val="0"/>
          <w:color w:val="3A4A28"/>
          <w:sz w:val="17"/>
        </w:rPr>
        <w:t>Azitra Corporate Materials — Platform Description (AI, Microbial Library, Synthetic Biology), CEO Strategic Reorientation Letter, Bayer Partnership — azitrainc.com, PR Newswire, 2026</w:t>
      </w:r>
    </w:p>
    <w:p>
      <w:pPr>
        <w:spacing w:before="20" w:after="20"/>
        <w:ind w:left="170"/>
      </w:pPr>
      <w:r>
        <w:rPr>
          <w:rFonts w:ascii="Calibri" w:hAnsi="Calibri"/>
          <w:b/>
          <w:color w:val="4A6B25"/>
          <w:sz w:val="15"/>
        </w:rPr>
        <w:t xml:space="preserve">4. </w:t>
      </w:r>
      <w:r>
        <w:rPr>
          <w:rFonts w:ascii="Calibri" w:hAnsi="Calibri"/>
          <w:b w:val="0"/>
          <w:color w:val="3A4A28"/>
          <w:sz w:val="17"/>
        </w:rPr>
        <w:t>Azitra Insider Ownership — CEO Francisco Salva 9.99% Stake, Preferred-to-Common Conversion (June 2026), Market Cap $8M — SEC Filings, Tracxn,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