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BABA</w:t>
      </w:r>
      <w:r>
        <w:rPr>
          <w:rFonts w:ascii="Calibri" w:hAnsi="Calibri"/>
          <w:b/>
          <w:color w:val="1A2010"/>
          <w:sz w:val="40"/>
        </w:rPr>
        <w:t xml:space="preserve">  Alibaba Group Holding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Internet Retail · NYSE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Alibaba operates China commerce platforms (Taobao, Tmall, quick commerce), international commerce, Cloud Intelligence, and logistics. FY2026 revenue was RMB1,023.7B (up 3%, 11% like-for-like excluding Sun Art and Intime), and June 2026 quarter revenue rose 9% with Cloud external revenue growing 40% [1].</w:t>
      </w:r>
    </w:p>
    <w:p>
      <w:r>
        <w:rPr>
          <w:rFonts w:ascii="Calibri" w:hAnsi="Calibri"/>
          <w:b/>
          <w:color w:val="6E8450"/>
          <w:sz w:val="18"/>
        </w:rPr>
        <w:t>124,000 Employees · https://www.alibabagroup.com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Alibaba has launched Qwen models, scaled Cloud Intelligence, and pushed quick commerce (up 47%), a significant but partly defensive set of pivots [1]. AI Deployment (2/2): AI-related product revenue achieved triple-digit growth for the 11th consecutive quarter [1]. Market Share (1/2): Leading China cloud provider, but e-commerce share is contested by PDD and Douyin. Pipeline (1/2): Ongoing model releases and cloud AI capacity build-out, with limited dated detail in research [2]. R&amp;D (1/1): Alibaba's technology committee led by the CEO signals above-peer investment.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The aim to make it easy to do business anywhere is specific and has guided the company since founding, with a CEO-led refocus on 'user first' and 'AI-driven' [2]. Community (1/2): An annual ESG report and carbon-neutrality and digital-inclusion programs exist, with emissions from own operations cut 5.0% in the year to March 2024 [3]. Retention (0/2): Criticism of '996' work practices and layoffs [3]. Insider Buying (0/2): No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stock; PEG unavailable. D/E of 23.9% scores 1.0 and forward P/E of 11.5 scores 1.0. Revenue growth of 8.6% YoY scores 0.95, the 5-year revenue CAGR near 7.4% scores 0.83 (2x weight), ROE of 6.4% scores 0.42 (2x weight), and profit margin of 7.0% scores 0.35 [1]. Weighted 5.81 of 8 = 7.3, scored 7. Daily dollar volume near $1.2B gives deep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Alibaba has reinvented itself from marketplace to cloud and now AI under a CEO-led technology committee, and has shed non-core assets (Sun Art, Intime). Persistent 996 and layoff criticism and governance concerns limit trust and rivalry credits.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Making it easy to do business anywhere has endured since founding and shaped the platform and cloud strategy, but regulatory shocks and a leadership transition tested focus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Persistent criticism of 996 work practices, layoffs, and workplace conduct controversies indicate a low-safety environment, though CEO Wu is known for a supportive mentoring style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Competition in China is described in share-war terms against PDD, Douyin, and quick-commerce rivals; no learning-oriented framing found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Alibaba moved from e-commerce to cloud to AI, divested Sun Art and Intime, and told staff to 'let go of past accomplishments' and return to entrepreneurial roots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accepts lower reported growth (3% FY2026 vs 11% like-for-like) to exit non-core retail and funds AI and quick commerce aggressively, but some moves followed regulatory pressure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Alibaba at $105.85 (market cap about $263B, forward P/E 11.5) is a cheap AI and cloud transition: Cloud Intelligence external revenue growth accelerated to 40% with AI product revenue triple-digit for 11 straight quarters, quick commerce grew 47%, and like-for-like FY2026 revenue grew 11%. D/E of 23.9% shows a strong balance sheet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earnings remain weak and uncertain: profit margin is 7.0%, ROE 6.4%, and trailing earnings fell about 79%, as heavy quick-commerce and AI spending compresses margins. E-commerce share faces PDD and Douyin, and the ESG profile is elevated (controversy exposure score 99/100) with governance risk from limited shareholder rights, U.S. audit scrutiny, and EU DSA pressure on AliExpress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Cloud Intelligence external growth of 40% and sustained triple-digit AI revenue growth supporting re-rating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Quick commerce growth of 47% and CEO-led AI focus restoring consumer-platform momentum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Forward P/E of 11.5 leaves room for multiple expansion if margins recover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Margin compression: profit margin of 7.0% and trailing earnings down about 79% as AI and quick commerce spending ramps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Governance and geopolitical exposure: limited shareholder rights, U.S. audit scrutiny, EU DSA pressure, and a controversy exposure score of 99/100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E-commerce share loss to PDD and Douyin and possible AI-agent disintermediation of core shopping traffic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Cloud Intelligence benefits from AI demand (external revenue up 40%), but the core China e-commerce business faces risk from AI-driven shopping agents and assistants that could redirect traffic away from Taobao and Tmall, and CEO Eddie Wu warned that without adapting 'we will be displaced' [2]. AI Opportunity (1/1): AI-related product revenue grew triple digits for the 11th straight quarter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Alibaba Group March Quarter and FY2026 Results (May 2026) and June Quarter 2026 Results (August 20, 2026), Business Wire and Nasdaq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Alibaba leadership and AI strategy: Benzinga (April 2026), SCMP, Business Chief,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Alibaba ESG controversies and 2024 ESG Report, MSCI, KnowESG, Alibaba Group,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