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BAC</w:t>
      </w:r>
      <w:r>
        <w:rPr>
          <w:rFonts w:ascii="Calibri" w:hAnsi="Calibri"/>
          <w:b/>
          <w:color w:val="1A2010"/>
          <w:sz w:val="40"/>
        </w:rPr>
        <w:t xml:space="preserve">  Bank of America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2026-10-03 · Inspire: -67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Banks - Diversified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Bank of America provides consumer banking, wealth management (Merrill and Private Bank), global banking and global markets services to individuals, businesses, institutions and governments. TTM revenue is about $113.9B with a 29.5% profit margin. Q2 2026 revenue was $31.6B (up 15% YoY) and net income $9.1B (up 27%) [1].</w:t>
      </w:r>
    </w:p>
    <w:p>
      <w:r>
        <w:rPr>
          <w:rFonts w:ascii="Calibri" w:hAnsi="Calibri"/>
          <w:b/>
          <w:color w:val="6E8450"/>
          <w:sz w:val="18"/>
        </w:rPr>
        <w:t>211,000 Employees · https://www.bankofamerica.com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Erica, the digital assistant, and an expanding digital and Zelle franchise are incremental extensions of the core bank rather than a new revenue stream [2]. AI Deployment (2/2): over 90% of 213,000 employees use the internal virtual assistant and Moynihan says AI is already lifting front- and back-office efficiency [2]. Market Share (1/2): a top-two US bank by deposits, but no specific share-gain data was found. Pipeline (1/2): the $13B 2026 technology budget includes $4B for new-initiative spend, but no named products with dates [2]. R&amp;D Intensity (1/1): $13B of tech spend is about 11% of revenue, above bank peers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'Responsible Growth' and helping clients and communities is clear but not distinctive among large banks [2]. Community Impact (2/2): large charitable foundation, multi-year racial-equity and community-development lending commitments (program size from company disclosures, not independently verified in this search). Employee Retention (1/2): 76% of employees would recommend the bank on Glassdoor, 3.9 culture rating, with burnout complaints tied to AI push [2]. Insider Buying (0/2): no evidence of net insider buying; executive transactions are compensation-driven.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Scored as a Dividend stock; D/E is not reported for banks and is excluded. Forward P/E 10.2 (1.0), profit margin 29.5% (1.0), revenue growth 16.8% YoY (1.0) all beat targets [1]. ROE of 11.2% scores 0.75 against the 15% target. 5-year revenue CAGR of roughly 5% scores about 0.67. Payout ratio 25.9% (1.0), 40 years of payments (1.0, 2x), about 10 years of consecutive increases (1.0) and an 8.4% 5-year dividend CAGR (1.0, 2x) complete a weighted score near 9.5 of 10. Daily dollar volume of about $1.8B is ample.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Bank of America is a well-run, durable franchise, but its stated purpose of Responsible Growth is closer to a corporate mission than a Sinek-style Just Cause. Its strategy is oriented around returns, share and efficiency targets, and ESG commitments have been diluted as regulatory priorities shifted.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'Responsible Growth' is a sound operating principle but reads as a strategy framework rather than a future state worth sacrificing for; ESG programs have been scaled back with policy shifts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stable senior team with orderly co-president succession; Glassdoor shows 76% recommend but culture is drifting toward burnout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management language centers on increasing market share and returns versus peers rather than learning from rivals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evolved from branches to digital (Erica, mobile) incrementally, but has not abandoned a core business model.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multi-year build of a $13B annual technology budget, including $4B for innovation, shows long-term investment, but there is no evidence of walking away from profitable misaligned business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Bank of America at $53.75 trades at 10.2x forward earnings with earnings power accelerating: Q2 2026 revenue rose 15% to $31.6B, EPS up 34% to $1.21, investment banking fees up 50%, sales and trading up 33% and net interest income growing [1]. A 29.5% net margin, 2.4% dividend yield with a 26% payout, and a disciplined AI program (90% employee adoption, $13B tech budget) support continued operating leverage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cyclicality and quality of the growth: fee strength in capital markets is market-dependent, the stock sits below its 50-day average of $60.68, and ROE of 11.2% trails the 15% target. Fossil-fuel financing criticism and the retreat from climate pledges create reputational and political exposure [3], and Glassdoor feedback points to burnout as AI is pushed through the organization [2]. Credit costs in a downturn could quickly compress the 2026 consensus of $33.7B net income.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Capital markets and fee momentum: Q2 2026 investment banking fees +50%, sales and trading +33%, asset management +20% drove 27% net income growth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Net interest income expansion (+9% YoY in Q1 2026) and operating leverage from AI-driven efficiency across 213,000 employees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Consensus FY2026 revenue of $123.9B (+13%) and net income $33.7B (+16%), with a forward P/E of only 10.2 leaving room for re-rating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Capital markets reversal: fee-based growth of 22% in noninterest income is cyclical and could reverse sharply in a risk-off market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Credit-cycle deterioration in consumer and commercial real estate books would hit earnings of $33.7B consensus and the 11.2% ROE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ESG and reputational exposure from fossil-fuel financing and diluted climate commitments, plus staff burnout as AI adoption accelerates 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a regulated, balance-sheet-based franchise with 211,000 employees and entrenched deposit and payments relationships is protected from AI substitution, and management frames AI as an efficiency tool [2]. Exposure remains in back-office and call-center roles, and Glassdoor reviewers flag AI adoption pressure on staff. AI Opportunity (0/1): AI is a cost lever, and no AI-generated revenue is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Bank of America Q1 and Q2 2026 Earnings Releases (SEC 8-K), CNBC, Investing.com, April-July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Bank of America AI strategy and culture — PYMNTS, Forbes, Glassdoor, Bank of America Newsroom,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Bank of America ESG profile — KnowESG, Sustainalytics, CNBC, 2023-2025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BAC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