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BANC</w:t>
      </w:r>
      <w:r>
        <w:rPr>
          <w:rFonts w:ascii="Calibri" w:hAnsi="Calibri"/>
          <w:b/>
          <w:color w:val="1A2010"/>
          <w:sz w:val="40"/>
        </w:rPr>
        <w:t xml:space="preserve">  Banc of California, Inc.</w:t>
      </w:r>
    </w:p>
    <w:p>
      <w:pPr>
        <w:spacing w:after="120"/>
      </w:pPr>
      <w:r>
        <w:rPr>
          <w:rFonts w:ascii="Calibri" w:hAnsi="Calibri"/>
          <w:b/>
          <w:color w:val="6E8450"/>
          <w:sz w:val="18"/>
        </w:rPr>
        <w:t>DIVIDEND SLEEVE · 2026-09-04 · Inspire: 40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Financials · Regional Banking · NYSE · United States</w:t>
      </w:r>
    </w:p>
    <w:p>
      <w:pPr>
        <w:spacing w:after="80"/>
      </w:pPr>
      <w:r>
        <w:rPr>
          <w:rFonts w:ascii="Calibri" w:hAnsi="Calibri"/>
          <w:b w:val="0"/>
          <w:color w:val="3A4A28"/>
          <w:sz w:val="20"/>
        </w:rPr>
        <w:t>Banc of California is a regional bank headquartered in Los Angeles providing diversified financial services including commercial banking, real estate lending, treasury management, and payments solutions to businesses and individuals across the Western United States. Formed through the transformative November 2023 merger with PacWest Bancorp, the combined entity has approximately $38 billion in total assets. Q1 2026 delivered EPS of $0.39 (up 50% YoY) with NIM at 3.24%, but Q2 2026 included a $251M net loss from a strategic balance sheet repositioning designed to enhance long-term earnings.</w:t>
      </w:r>
    </w:p>
    <w:p>
      <w:r>
        <w:rPr>
          <w:rFonts w:ascii="Calibri" w:hAnsi="Calibri"/>
          <w:b/>
          <w:color w:val="6E8450"/>
          <w:sz w:val="18"/>
        </w:rPr>
        <w:t>3,700 Employees · https://bancofcal.com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The November 2023 merger with PacWest Bancorp transformed BANC from a ~$9B to a $38B asset institution during the regional banking crisis, and Q1 2026 validated the integration with diluted EPS up 50% YoY and NIM expanding to 3.24% [1]. However, this is M&amp;A execution, not product innovation — the core community banking model remains unchanged. AI Deployment (0/2): No evidence of AI-powered products shipping to customers or quantified AI-driven cost savings; the bank has acknowledged generative AI fraud risks but has not deployed AI offensively [3]. Market Share (0/2): BANC is a mid-tier regional bank in Southern California competing against JPMorgan, Wells Fargo, and Bank of America with no evidence of category leadership or meaningful share gains. Product Pipeline (1/2): BancEdge, a merchant acquiring payments platform launched under new hire Chris Healy, represents expansion into payments processing, and the Q2 2026 balance sheet repositioning reflects forward-looking capital allocation to improve long-term NIM [2][3]. R&amp;D Intensity (0/1): No evidence of above-average technology investment relative to regional bank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BANC's purpose centers on being a premier community bank serving businesses and individuals in the Western US — generic and interchangeable with any peer regional bank without articulating a deeper purpose beyond financial services [3]. Community Impact (1/2): As a CRA-regulated institution, BANC engages in community lending and has integrated ESG programs from both legacy organizations post-PacWest merger using the SASB framework, though no specific dollar-amount community investment programs were identified [4]. Employee Retention (0/2): Glassdoor reviews describe CEO Wolff as approachable and transparent, with 'great culture starts from the top,' but some divisions cite inconsistent HR responsiveness [5]. No specific employee tenure or voluntary turnover data to confirm above-average retention. Insider Buying (0/2): No evidence of meaningful net insider buying by CEO Wolff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dividend-sleeve metrics. Forward P/E of 10.11 is deeply discounted below the 20 target (score 1.0), reflecting post-Q2 repositioning skepticism [4]. D/E of 102% is reasonable for a bank (score 0.86). Revenue growth of 8% YoY reflects higher earning asset base from PacWest integration (score 0.93) [1]. Profit margin of approximately 11.4% TTM is depressed by the Q2 2026 $251M repositioning loss (score 0.57); normalized FY2025 margin was 21.8% [2]. ROE of 4.32% TTM is well below the 15% target (score 0.29), dragged down by one-time charges [4]. Payout ratio of 31.6% is conservative (score 1.0). Consecutive years paid of approximately 10 scores 1.0 at 2x weight. Consecutive years growth of 1 post-merger disruption scores 0.1. Daily dollar volume of approximately $46M provides ample liquidity. Weighted sum 6.75 / max 9.0 = 7.5, rounds to 8.</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Banc of California under CEO Jared Wolff demonstrates competent execution in integrating the PacWest merger and delivering improved financial results, but the organization lacks a compelling Just Cause beyond being a better regional bank. The Q2 2026 balance sheet repositioning shows tactical courage, yet the company's competitive language focuses on market position, NIM targets, and efficiency ratios — finite game metrics. Leadership is stable and culture is positive, but no enduring purpose distinguishes BANC from peer banks.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BANC exists to provide banking services and grow shareholder value — there is no articulated vision of a better future that transcends the business itself. The post-merger strategy focuses on operational efficiency, NIM expansion, and market share gains in Southern California, which are finite game objectives [1][2]. The company's purpose is interchangeable with any peer regional bank.</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Employee reviews describe an improving culture post-merger, with CEO Wolff praised for transparency and approachability — 'great culture starts from the top' and leadership described as open about opportunities and risks [5]. However, some divisions cite concerns about inconsistent HR responsiveness, and the PacWest integration inevitably created organizational disruption affecting workforce stability.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BANC's positioning is framed in terms of asset growth, NIM expansion, and efficiency ratios relative to peer banks — finite metrics focused on winning rather than improving [1]. Management commentary does not reference learning from larger competitors or acknowledging rivals' strengths.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PacWest merger during the 2023 regional banking crisis was a significant strategic pivot that quadrupled BANC's asset base, demonstrating willingness to reshape the business during extreme industry stress [1][2]. The Q2 2026 balance sheet repositioning — deliberately taking a $251M loss — further shows flexibility in restructuring for long-term benefit. However, the core banking business model is unchanged; transformation was in scale, not kind.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Wolff showed courage pursuing the PacWest acquisition during the 2023 regional banking crisis when peers were retrenching, and the Q2 2026 decision to take a $251M balance sheet repositioning loss rather than drip-feeding pain demonstrates willingness to sacrifice near-term earnings [2]. However, both moves can be read as opportunistic — PacWest was available at distressed pricing, and the repositioning may have been forced by rate dynamics rather than chosen from conviction.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Banc of California at 10.11x forward earnings offers a compelling post-merger value play with demonstrated execution: Q1 2026 delivered diluted EPS of $0.39 (up 50% YoY), NIM expanded to 3.24%, and the bank achieved positive operating leverage with noninterest expense declining 1% YoY [1]. The Q2 2026 strategic balance sheet repositioning, while causing a $251M one-time loss, is designed to enhance long-term NIM by improving the earning asset mix, and management guided toward continued NIM expansion through H2 2026 [2]. At 2.19% yield with a conservative 31.6% payout ratio, BANC retains significant capacity for dividend growth as earnings normalize. The Inspire Impact Score of 40 (ALIGNED) with zero negative attributions reflects responsible banking practices including systemic risk mitigation.</w:t>
      </w:r>
    </w:p>
    <w:p>
      <w:pPr>
        <w:spacing w:after="120"/>
      </w:pPr>
      <w:r>
        <w:rPr>
          <w:rFonts w:ascii="Calibri" w:hAnsi="Calibri"/>
          <w:b w:val="0"/>
          <w:color w:val="3A4A28"/>
          <w:sz w:val="20"/>
        </w:rPr>
        <w:t>The bear case centers on post-repositioning execution risk and structural regional banking challenges. The $251M Q2 2026 net loss compressed TTM ROE to 4.32% — well below the 15% target — and TTM profit margin to 11.4%, calling into question whether BANC can achieve adequate returns on its expanded $38B asset base [2][4]. Commercial real estate concentration from legacy PacWest creates vulnerability to CRE market deterioration in Southern California, where office vacancy rates remain elevated. The bank approaches the $50B enhanced prudential standards threshold, which would trigger significantly higher compliance costs and regulatory capital requirements. Revenue of $949.66M TTM reflects modest organic growth stripping out merger effects. BANC lacks meaningful AI or technology differentiation against larger banks with bigger tech budgets, and the BancEdge payments platform faces established fintech competitors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NIM expansion from Q2 2026 balance sheet repositioning should accelerate in H2 2026 and FY2027, potentially driving ROE back toward 8-10% normalized levels and re-rating the stock from 10x to 12-14x forward earnings [2]</w:t>
      </w:r>
    </w:p>
    <w:p>
      <w:pPr>
        <w:spacing w:before="40" w:after="40"/>
        <w:ind w:left="283"/>
      </w:pPr>
      <w:r>
        <w:rPr>
          <w:rFonts w:ascii="Calibri" w:hAnsi="Calibri"/>
          <w:b/>
          <w:color w:val="4A6B25"/>
          <w:sz w:val="20"/>
        </w:rPr>
        <w:t xml:space="preserve">2. </w:t>
      </w:r>
      <w:r>
        <w:rPr>
          <w:rFonts w:ascii="Calibri" w:hAnsi="Calibri"/>
          <w:b w:val="0"/>
          <w:color w:val="3A4A28"/>
          <w:sz w:val="20"/>
        </w:rPr>
        <w:t>Continued cost synergy realization from PacWest integration driving positive operating leverage, with management targeting EPS consensus of $1.70-1.85 for full year 2026 [1]</w:t>
      </w:r>
    </w:p>
    <w:p>
      <w:pPr>
        <w:spacing w:before="40" w:after="40"/>
        <w:ind w:left="283"/>
      </w:pPr>
      <w:r>
        <w:rPr>
          <w:rFonts w:ascii="Calibri" w:hAnsi="Calibri"/>
          <w:b/>
          <w:color w:val="4A6B25"/>
          <w:sz w:val="20"/>
        </w:rPr>
        <w:t xml:space="preserve">3. </w:t>
      </w:r>
      <w:r>
        <w:rPr>
          <w:rFonts w:ascii="Calibri" w:hAnsi="Calibri"/>
          <w:b w:val="0"/>
          <w:color w:val="3A4A28"/>
          <w:sz w:val="20"/>
        </w:rPr>
        <w:t>Conservative payout ratio of 31.6% creates capacity for meaningful dividend growth as earnings normalize, which could attract income-focused investors to the 2.19% yield base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Commercial real estate portfolio concentration from legacy PacWest — Southern California CRE faces headwinds from elevated office vacancy rates, remote work trends, and potential credit deterioration requiring elevated provisioning [2]</w:t>
      </w:r>
    </w:p>
    <w:p>
      <w:pPr>
        <w:spacing w:before="40" w:after="40"/>
        <w:ind w:left="283"/>
      </w:pPr>
      <w:r>
        <w:rPr>
          <w:rFonts w:ascii="Calibri" w:hAnsi="Calibri"/>
          <w:b/>
          <w:color w:val="4A6B25"/>
          <w:sz w:val="20"/>
        </w:rPr>
        <w:t xml:space="preserve">2. </w:t>
      </w:r>
      <w:r>
        <w:rPr>
          <w:rFonts w:ascii="Calibri" w:hAnsi="Calibri"/>
          <w:b w:val="0"/>
          <w:color w:val="3A4A28"/>
          <w:sz w:val="20"/>
        </w:rPr>
        <w:t>TTM ROE of 4.32% is less than one-third of the 15% target, indicating the combined entity has not achieved returns that adequately compensate for regional banking risk [4]</w:t>
      </w:r>
    </w:p>
    <w:p>
      <w:pPr>
        <w:spacing w:before="40" w:after="40"/>
        <w:ind w:left="283"/>
      </w:pPr>
      <w:r>
        <w:rPr>
          <w:rFonts w:ascii="Calibri" w:hAnsi="Calibri"/>
          <w:b/>
          <w:color w:val="4A6B25"/>
          <w:sz w:val="20"/>
        </w:rPr>
        <w:t xml:space="preserve">3. </w:t>
      </w:r>
      <w:r>
        <w:rPr>
          <w:rFonts w:ascii="Calibri" w:hAnsi="Calibri"/>
          <w:b w:val="0"/>
          <w:color w:val="3A4A28"/>
          <w:sz w:val="20"/>
        </w:rPr>
        <w:t>Approaching the $50B enhanced prudential standards threshold would trigger significantly higher compliance costs, regulatory capital requirements, and stress testing obligations that could constrain earnings growth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Banc of California's core commercial banking, real estate lending, and treasury management businesses are protected by regulatory requirements, relationship-driven lending models, and physical market presence that AI cannot easily replicate [3]. Commercial loan underwriting requires judgment, local market knowledge, and relationship management creating meaningful switching costs. However, consumer-facing functions face increasing fintech and AI competition — robo-advisory, automated lending platforms, and AI-driven payment solutions erode margins in commoditized products. The BancEdge payments platform faces direct competition from AI-powered fintech like Stripe and Square [3]. AI Opportunity (0/1): BANC has not deployed AI products generating revenue and has not reported quantified AI-driven efficiency gains, though the company acknowledges AI's role in fraud detection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Systemic Risk Mitigation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Banc of California Q1 2026 Earnings Release — revenue $286.9M, EPS $0.39 up 50% YoY, NIM 3.24%, April 2026</w:t>
      </w:r>
    </w:p>
    <w:p>
      <w:pPr>
        <w:spacing w:before="20" w:after="20"/>
        <w:ind w:left="170"/>
      </w:pPr>
      <w:r>
        <w:rPr>
          <w:rFonts w:ascii="Calibri" w:hAnsi="Calibri"/>
          <w:b/>
          <w:color w:val="4A6B25"/>
          <w:sz w:val="15"/>
        </w:rPr>
        <w:t xml:space="preserve">2. </w:t>
      </w:r>
      <w:r>
        <w:rPr>
          <w:rFonts w:ascii="Calibri" w:hAnsi="Calibri"/>
          <w:b w:val="0"/>
          <w:color w:val="3A4A28"/>
          <w:sz w:val="17"/>
        </w:rPr>
        <w:t>Banc of California Q2 2026 Financial Results — revenue $250.5M, net loss $251.3M from strategic balance sheet repositioning, BusinessWire, July 2026</w:t>
      </w:r>
    </w:p>
    <w:p>
      <w:pPr>
        <w:spacing w:before="20" w:after="20"/>
        <w:ind w:left="170"/>
      </w:pPr>
      <w:r>
        <w:rPr>
          <w:rFonts w:ascii="Calibri" w:hAnsi="Calibri"/>
          <w:b/>
          <w:color w:val="4A6B25"/>
          <w:sz w:val="15"/>
        </w:rPr>
        <w:t xml:space="preserve">3. </w:t>
      </w:r>
      <w:r>
        <w:rPr>
          <w:rFonts w:ascii="Calibri" w:hAnsi="Calibri"/>
          <w:b w:val="0"/>
          <w:color w:val="3A4A28"/>
          <w:sz w:val="17"/>
        </w:rPr>
        <w:t>Banc of California BancEdge Payments Platform, AI Fraud Risk, and Company Profile — LA Business Journal, company website, 2026</w:t>
      </w:r>
    </w:p>
    <w:p>
      <w:pPr>
        <w:spacing w:before="20" w:after="20"/>
        <w:ind w:left="170"/>
      </w:pPr>
      <w:r>
        <w:rPr>
          <w:rFonts w:ascii="Calibri" w:hAnsi="Calibri"/>
          <w:b/>
          <w:color w:val="4A6B25"/>
          <w:sz w:val="15"/>
        </w:rPr>
        <w:t xml:space="preserve">4. </w:t>
      </w:r>
      <w:r>
        <w:rPr>
          <w:rFonts w:ascii="Calibri" w:hAnsi="Calibri"/>
          <w:b w:val="0"/>
          <w:color w:val="3A4A28"/>
          <w:sz w:val="17"/>
        </w:rPr>
        <w:t>Banc of California ESG Framework and Post-Merger Governance — SEC DEF 14A filing, 2026</w:t>
      </w:r>
    </w:p>
    <w:p>
      <w:pPr>
        <w:spacing w:before="20" w:after="20"/>
        <w:ind w:left="170"/>
      </w:pPr>
      <w:r>
        <w:rPr>
          <w:rFonts w:ascii="Calibri" w:hAnsi="Calibri"/>
          <w:b/>
          <w:color w:val="4A6B25"/>
          <w:sz w:val="15"/>
        </w:rPr>
        <w:t xml:space="preserve">5. </w:t>
      </w:r>
      <w:r>
        <w:rPr>
          <w:rFonts w:ascii="Calibri" w:hAnsi="Calibri"/>
          <w:b w:val="0"/>
          <w:color w:val="3A4A28"/>
          <w:sz w:val="17"/>
        </w:rPr>
        <w:t>Glassdoor Reviews — Banc of California employee reviews citing culture and leadership,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