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BANL</w:t>
      </w:r>
      <w:r>
        <w:rPr>
          <w:rFonts w:ascii="Calibri" w:hAnsi="Calibri"/>
          <w:b/>
          <w:color w:val="1A2010"/>
          <w:sz w:val="40"/>
        </w:rPr>
        <w:t xml:space="preserve">  CBL International Limited</w:t>
      </w:r>
    </w:p>
    <w:p>
      <w:pPr>
        <w:spacing w:after="120"/>
      </w:pPr>
      <w:r>
        <w:rPr>
          <w:rFonts w:ascii="Calibri" w:hAnsi="Calibri"/>
          <w:b/>
          <w:color w:val="6E8450"/>
          <w:sz w:val="18"/>
        </w:rPr>
        <w:t>GROWTH SLEEVE · 2026-09-29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NASDAQ · Hong Kong</w:t>
      </w:r>
    </w:p>
    <w:p>
      <w:pPr>
        <w:spacing w:after="80"/>
      </w:pPr>
      <w:r>
        <w:rPr>
          <w:rFonts w:ascii="Calibri" w:hAnsi="Calibri"/>
          <w:b w:val="0"/>
          <w:color w:val="3A4A28"/>
          <w:sz w:val="20"/>
        </w:rPr>
        <w:t>CBL International Limited is a global marine fuel logistics provider established in 2015, operating a bunkering network spanning 70+ ports across the Asia Pacific and beyond. Under CEO Dr. Teck Lim Chia, the company distributes conventional marine fuels and is expanding into sustainable marine fuels through its April 2026 acquisition of a 50.5% stake in Green Marine Energy Holdings Limited. H1 2026 revenue reached $395.59M (+49.2% YoY), driven by geopolitical oil price escalation and 10.9% sales volume growth. The company returned to profitability with $1.5M net income (vs. $992K loss in H1 2025) and declared a special cash dividend of $0.10/share. CBL is a micro-cap ($9.4M market cap) with ultra-thin gross margins of 1.65% — a fuel intermediary rather than a refiner, earning spread on volume rather than product margin.</w:t>
      </w:r>
    </w:p>
    <w:p>
      <w:r>
        <w:rPr>
          <w:rFonts w:ascii="Calibri" w:hAnsi="Calibri"/>
          <w:b/>
          <w:color w:val="6E8450"/>
          <w:sz w:val="18"/>
        </w:rPr>
        <w:t>100 Employees · https://www.cblintl.com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CBL International is a marine fuel logistics intermediary — essentially a bunkering broker that arranges fuel supply at ports. The core business is commoditized fuel distribution with no proprietary technology, refining capability, or differentiated product [1]. The expansion from startup to 70+ ports since 2015 demonstrates commercial execution but not innovation. Gross profit margin of 1.65% confirms this is a volume-driven intermediary business, not a technology or innovation story. AI Deployment (0/2): No evidence of AI deployment in logistics optimization, pricing analytics, or any operational function [2]. Market Share (0/2): CBL operates in the vast global bunkering market ($200B+) with a $9.4M market cap — the company is an immaterial participant in global marine fuel logistics, even with 70+ ports in its network [1]. Product Pipeline (1/2): The April 2026 acquisition of a 50.5% stake in Green Marine Energy Holdings positions CBL in sustainable aviation fuel (SAF) and biofuel supply chains, with biofuel demand surging 154.7% YoY in H1 2025 [3]. The B24 blend (24% UCOME) delivering 20% GHG reduction represents a forward-looking product in the maritime energy transition. However, execution at this scale is uncertain. R&amp;D Intensity (1/1): No formal R&amp;D, but the Green Marine Energy acquisition represents investment in sustainable fuel capability appropriate for a micro-cap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CBL's purpose is marine fuel distribution — a basic commercial activity without a distinctive or inspiring mission beyond growing its bunkering network. The biofuel pivot adds an environmental dimension, but the company has not articulated a broader purpose beyond business growth [1]. Community Impact (0/2): No evidence of community programs, philanthropic initiatives, or social impact beyond standard business operations. Employee Retention (1/2): CEO Dr. Teck Lim Chia received the Directors of the Year Award from the Hong Kong Institute of Directors in December 2025, recognizing contributions to corporate governance, board leadership, investor relations, and ESG disclosures [2]. This validates governance quality at the leadership level but provides no data on broader employee sentiment or retention in a ~100-person organization. Insider Buying (0/2): No evidence of meaningful net insider buying. The special $0.10 dividend suggests management confidence but is distinct from insider purchasing.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115,544 shares multiplied by stock price of $4.47 equals approximately $516,482 in daily dollar turnover — well below the $1,000,000 liquidity floor. Infrastructure score is automatically set to 0 regardless of other metrics [4]. For context: the underlying financial metrics are mixed — D/E of 0.98% indicates minimal leverage, revenue growth of 49.2% is exceptionally strong (driven by geopolitical oil price escalation and volume growth), and the company just returned to profitability [1]. However, profit margin of -0.07% is essentially breakeven, ROE of -2.3% is negative, and forward P/E is null (no analyst coverage). The $9.4M market cap makes this a micro-cap with severe institutional investment constraints. Recent volume of 9,400 shares (vs. 115,544 average) suggests even the average volume figure may overstate actual liquidity. This stock is effectively uninvestable for any portfolio with position sizing requirements.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CBL International plays a largely finite game, focused on volume growth and market expansion in marine fuel logistics rather than a purpose-driven vision. The company's 11-year history (founded 2015) is too short to fully assess infinite game characteristics. The Green Marine Energy acquisition shows some existential flexibility toward sustainable fuels, and CEO Dr. Chia's governance award validates leadership quality, but the business remains a commoditized fuel intermediary without a distinctive cause, employee culture data, or evidence of worthy rival acknowledgment.</w:t>
      </w:r>
    </w:p>
    <w:p>
      <w:pPr>
        <w:spacing w:before="200" w:after="40"/>
      </w:pPr>
      <w:r>
        <w:rPr>
          <w:rFonts w:ascii="Calibri" w:hAnsi="Calibri"/>
          <w:b/>
          <w:color w:val="1A2010"/>
          <w:sz w:val="22"/>
        </w:rPr>
        <w:t>Just Cause</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(0.5/3): CBL's purpose is marine fuel distribution — a necessary but uninspiring commercial activity. The company was founded in 2015, giving it only 11 years of history — insufficient time to validate a cause through leadership transitions, economic crises, or existential threats [1]. The biofuel pivot through Green Marine Energy adds an environmental dimension (20% GHG reduction through B24 blend), but sustainable marine fuel is positioned as a growth opportunity rather than a driving purpose [3]. No evidence of a mission statement or articulated cause beyond business growth and geographic expansion.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(0.5/2): No Glassdoor ratings, employee engagement data, or workforce retention metrics were identified for a ~100-person organization [2]. CEO Dr. Chia's Directors of the Year Award from the Hong Kong Institute of Directors validates governance quality and stakeholder engagement at the board level. However, the absence of any employee-facing culture data — positive or negative — prevents a meaningful assessment of organizational trust. Micro-cap companies often have strong founder-driven cultures or poor structures, and insufficient data prevents determining which applies.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CBL's leadership acknowledging competitors' strengths or using rivals as catalysts for self-improvement. CBL competes against major global bunkering companies including World Fuel Services, Bunker Holding, and Peninsula Petroleum — all vastly larger operations [1]. The company's competitive positioning focuses on geographic network expansion (70+ ports) rather than learning from competitors. At $9.4M market cap, CBL is too small for its competitive commentary to be widely covered.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April 2026 acquisition of a 50.5% stake in Green Marine Energy Holdings represents genuine existential flexibility — pivoting from pure conventional marine fuel distribution toward sustainable aviation fuel (SAF) and biofuel supply chains [3]. Biofuel demand surging 154.7% YoY validates the strategic direction. The B24 blend (20% GHG reduction) positions CBL for the maritime energy transition driven by IMO decarbonization targets. However, the acquisition is recent (April 2026) and unproven at scale, and the company's core business remains conventional fuel distribution. The pivot builds on existing logistics capabilities rather than requiring fundamental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Dr. Chia built CBL from founding in 2015 to a 70+ port network and NASDAQ listing, demonstrating entrepreneurial courage in a capital-intensive industry dominated by much larger players [2]. The decision to acquire Green Marine Energy during a period of returning to profitability represents forward-looking investment over near-term earnings optimization. The special $0.10 dividend declaration signals confidence in the business trajectory [1]. However, at $9.4M market cap and $395M in revenue with 1.65% gross margins, the business model is inherently fragile, and no evidence of costly, principled decisions beyond normal business strategy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CBL International is a micro-cap marine fuel logistics provider with improving fundamentals — H1 2026 revenue of $395.59M (+49.2%), return to profitability ($1.5M net income), and a strategic pivot toward sustainable marine fuels through the Green Marine Energy acquisition [1]. CEO Dr. Chia's Directors of the Year Award validates governance quality, and the 70+ port network provides geographic diversification [2]. The special $0.10 dividend signals management confidence. The Green Marine Energy acquisition positions CBL for the maritime energy transition, with biofuel demand surging 154.7% YoY [3]. At $4.47/share, the stock trades at less than 0.01x revenue, reflecting deep value if the business can sustain profitability and expand biofuel operations.</w:t>
      </w:r>
    </w:p>
    <w:p>
      <w:pPr>
        <w:spacing w:after="120"/>
      </w:pPr>
      <w:r>
        <w:rPr>
          <w:rFonts w:ascii="Calibri" w:hAnsi="Calibri"/>
          <w:b w:val="0"/>
          <w:color w:val="3A4A28"/>
          <w:sz w:val="20"/>
        </w:rPr>
        <w:t>The bear case is overwhelming for an IOWN-framework portfolio. The stock fails the liquidity floor — average daily dollar turnover of ~$516K (and recent volume of just 9,400 shares) makes position entry and exit impractical for any sized portfolio, triggering an automatic infrastructure score of 0 [4]. The $9.4M market cap is micro-cap territory with no analyst coverage (forward P/E null), creating severe information asymmetry and institutional neglect. Gross profit margin of 1.65% on $395M revenue means the company earns only $6.5M in gross profit — a razor-thin spread vulnerable to any disruption in fuel pricing or customer relationships. Net profit margin of -0.07% is essentially breakeven, ROE is negative at -2.3%, and the 'return to profitability' of $1.5M in H1 2026 represents a fragile inflection point [1]. The business is a commoditized fuel intermediary with no proprietary technology, no AI capabilities, no competitive moat beyond its port network, and no faith alignment data (Inspire score 0, MIXED). The Cayman Islands incorporation and Hong Kong operations create additional governance and jurisdictional risk. Until CBL achieves sustained profitability, meaningful scale, and institutional-grade liquidity, it is unsuitable for IOWN portfolio consideration.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Green Marine Energy acquisition could establish CBL as an early mover in sustainable aviation fuel (SAF) and biofuel supply chains in the Asia Pacific maritime market, with biofuel demand surging 154.7% YoY and regulatory tailwinds from IMO decarbonization targets [3]</w:t>
      </w:r>
    </w:p>
    <w:p>
      <w:pPr>
        <w:spacing w:before="40" w:after="40"/>
        <w:ind w:left="283"/>
      </w:pPr>
      <w:r>
        <w:rPr>
          <w:rFonts w:ascii="Calibri" w:hAnsi="Calibri"/>
          <w:b/>
          <w:color w:val="4A6B25"/>
          <w:sz w:val="20"/>
        </w:rPr>
        <w:t xml:space="preserve">2. </w:t>
      </w:r>
      <w:r>
        <w:rPr>
          <w:rFonts w:ascii="Calibri" w:hAnsi="Calibri"/>
          <w:b w:val="0"/>
          <w:color w:val="3A4A28"/>
          <w:sz w:val="20"/>
        </w:rPr>
        <w:t>Revenue growth trajectory (+49.2% YoY) combined with gross profit margin expansion from 1.02% to 1.65% could drive sustained profitability, with even small margin improvements generating meaningful bottom-line impact on $800M+ annualized revenue [1]</w:t>
      </w:r>
    </w:p>
    <w:p>
      <w:pPr>
        <w:spacing w:before="40" w:after="40"/>
        <w:ind w:left="283"/>
      </w:pPr>
      <w:r>
        <w:rPr>
          <w:rFonts w:ascii="Calibri" w:hAnsi="Calibri"/>
          <w:b/>
          <w:color w:val="4A6B25"/>
          <w:sz w:val="20"/>
        </w:rPr>
        <w:t xml:space="preserve">3. </w:t>
      </w:r>
      <w:r>
        <w:rPr>
          <w:rFonts w:ascii="Calibri" w:hAnsi="Calibri"/>
          <w:b w:val="0"/>
          <w:color w:val="3A4A28"/>
          <w:sz w:val="20"/>
        </w:rPr>
        <w:t>Port network expansion beyond 70+ ports and successful customer diversification could reduce concentration risk and build scale advantages that attract larger fuel suppliers and institutional investor attention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failure — average daily dollar turnover of ~$516K ($4.47 x 115K shares) makes position sizing impractical, and recent volume of 9,400 shares suggests even the average figure overstates actual tradability, creating severe execution risk for entry and exit [4]</w:t>
      </w:r>
    </w:p>
    <w:p>
      <w:pPr>
        <w:spacing w:before="40" w:after="40"/>
        <w:ind w:left="283"/>
      </w:pPr>
      <w:r>
        <w:rPr>
          <w:rFonts w:ascii="Calibri" w:hAnsi="Calibri"/>
          <w:b/>
          <w:color w:val="4A6B25"/>
          <w:sz w:val="20"/>
        </w:rPr>
        <w:t xml:space="preserve">2. </w:t>
      </w:r>
      <w:r>
        <w:rPr>
          <w:rFonts w:ascii="Calibri" w:hAnsi="Calibri"/>
          <w:b w:val="0"/>
          <w:color w:val="3A4A28"/>
          <w:sz w:val="20"/>
        </w:rPr>
        <w:t>Razor-thin margins (1.65% gross, ~0% net) in a commoditized fuel intermediary business create extreme vulnerability to fuel price volatility, credit losses from counterparty default, and competitive pricing pressure from much larger bunkering companies [1]</w:t>
      </w:r>
    </w:p>
    <w:p>
      <w:pPr>
        <w:spacing w:before="40" w:after="40"/>
        <w:ind w:left="283"/>
      </w:pPr>
      <w:r>
        <w:rPr>
          <w:rFonts w:ascii="Calibri" w:hAnsi="Calibri"/>
          <w:b/>
          <w:color w:val="4A6B25"/>
          <w:sz w:val="20"/>
        </w:rPr>
        <w:t xml:space="preserve">3. </w:t>
      </w:r>
      <w:r>
        <w:rPr>
          <w:rFonts w:ascii="Calibri" w:hAnsi="Calibri"/>
          <w:b w:val="0"/>
          <w:color w:val="3A4A28"/>
          <w:sz w:val="20"/>
        </w:rPr>
        <w:t>Micro-cap governance risk — $9.4M market cap, Cayman Islands incorporation, Hong Kong operations, no analyst coverage, and limited public disclosure create information asymmetry and jurisdictional risk that could obscure material developments from investors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Marine fuel logistics is fundamentally physical — ships require bunker fuel delivered by physical barges at physical ports, and no AI advancement can substitute the need for marine fuel or the logistics of bunkering operations [1]. CBL's business involves negotiating fuel supply, coordinating physical delivery at 70+ ports, and managing fuel quality compliance with maritime regulations (IMO 2020 sulfur cap, MARPOL standards). These activities require physical infrastructure, regulatory compliance, and human relationships with port authorities and fuel suppliers that AI cannot replicate. However, AI could enhance competitive positioning for larger, better-capitalized bunkering companies through pricing optimization, supply chain analytics, route optimization, and demand prediction — capabilities that CBL lacks the resources to develop at its $9.4M scale, creating a potential competitive disadvantage as larger competitors adopt AI tools [2]. AI Opportunity (0/1): No AI capabilities or AI-adjacent products. CBL's micro-cap scale makes meaningful AI investment impractical.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CBL International H1 2026 Earnings — Revenue $395.59M (+49.2%), Gross Profit $6.53M (+140.5%), Net Income $1.5M (Return to Profitability), Gross Margin 1.65%, Volume Growth 10.9%, Special Dividend $0.10/Share — NASDAQ Press Release, Globe and Mail, Investing.com, August 2026</w:t>
      </w:r>
    </w:p>
    <w:p>
      <w:pPr>
        <w:spacing w:before="20" w:after="20"/>
        <w:ind w:left="170"/>
      </w:pPr>
      <w:r>
        <w:rPr>
          <w:rFonts w:ascii="Calibri" w:hAnsi="Calibri"/>
          <w:b/>
          <w:color w:val="4A6B25"/>
          <w:sz w:val="15"/>
        </w:rPr>
        <w:t xml:space="preserve">2. </w:t>
      </w:r>
      <w:r>
        <w:rPr>
          <w:rFonts w:ascii="Calibri" w:hAnsi="Calibri"/>
          <w:b w:val="0"/>
          <w:color w:val="3A4A28"/>
          <w:sz w:val="17"/>
        </w:rPr>
        <w:t>CBL International CEO Dr. Teck Lim Chia — Directors of the Year Award (Hong Kong Institute of Directors, December 2025), Board Composition, Corporate Governance — TipRanks, StockAnalysis, NASDAQ, 2025-2026</w:t>
      </w:r>
    </w:p>
    <w:p>
      <w:pPr>
        <w:spacing w:before="20" w:after="20"/>
        <w:ind w:left="170"/>
      </w:pPr>
      <w:r>
        <w:rPr>
          <w:rFonts w:ascii="Calibri" w:hAnsi="Calibri"/>
          <w:b/>
          <w:color w:val="4A6B25"/>
          <w:sz w:val="15"/>
        </w:rPr>
        <w:t xml:space="preserve">3. </w:t>
      </w:r>
      <w:r>
        <w:rPr>
          <w:rFonts w:ascii="Calibri" w:hAnsi="Calibri"/>
          <w:b w:val="0"/>
          <w:color w:val="3A4A28"/>
          <w:sz w:val="17"/>
        </w:rPr>
        <w:t>CBL International Green Marine Energy Acquisition — 50.5% Majority Stake (April 2026), Biofuel Demand +154.7% YoY, B24 Blend 20% GHG Reduction, SAF and Biofuel Supply Chain — SEC Form 6-K, Manifold Times, Globe and Mail,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BANL Key Statistics: Price $4.47, Market Cap $9.4M, D/E 0.98%, ROE -2.3%, Profit Margin -0.07%, Revenue Growth 49.2%, Avg Volume 115.5K, Recent Volume 9.4K,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