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BBIO</w:t>
      </w:r>
      <w:r>
        <w:rPr>
          <w:rFonts w:ascii="Calibri" w:hAnsi="Calibri"/>
          <w:b/>
          <w:color w:val="1A2010"/>
          <w:sz w:val="40"/>
        </w:rPr>
        <w:t xml:space="preserve">  BridgeBio Pharma, Inc.</w:t>
      </w:r>
    </w:p>
    <w:p>
      <w:pPr>
        <w:spacing w:after="120"/>
      </w:pPr>
      <w:r>
        <w:rPr>
          <w:rFonts w:ascii="Calibri" w:hAnsi="Calibri"/>
          <w:b/>
          <w:color w:val="6E8450"/>
          <w:sz w:val="18"/>
        </w:rPr>
        <w:t>GROWTH SLEEVE · 2026-09-04 · Inspire: 33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BridgeBio Pharma is a biopharmaceutical company focused on discovering and delivering transformative medicines for genetic diseases and cancers. Its lead product ATTRUBY (acoramidis) treats transthyretin amyloid cardiomyopathy (ATTR-CM) and has become a rapid commercial success, surging 211% YoY in Q2 2026. BEYONTTRA generates royalty revenue from EU and Japan sales. The company operates a hub-and-spoke model with autonomous teams focused on individual conditions. H1 2026 revenue reached $438.2M (up 93% YoY) with net loss narrowing to $0.78/share in Q2. Founded by CEO Neil Kumar in 2015.</w:t>
      </w:r>
    </w:p>
    <w:p>
      <w:r>
        <w:rPr>
          <w:rFonts w:ascii="Calibri" w:hAnsi="Calibri"/>
          <w:b/>
          <w:color w:val="6E8450"/>
          <w:sz w:val="18"/>
        </w:rPr>
        <w:t>700 Employees · https://bridgebio.com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ATTRUBY launched in late 2024 and has delivered exceptional commercial execution — Q2 2026 net product revenue surged 211% YoY with total revenue of $243.7M, bringing H1 2026 total to $438.2M vs $227.2M in H1 2025 [1][2]. BEYONTTRA adds a second commercialized asset generating $13.8M in royalty revenue from EU and Japan [2]. This represents genuine market-creating innovation, though concentrated in a single therapeutic area. AI Deployment (0/2): BridgeBio applies AI and high-performance computing in collaboration with research institutions to accelerate molecule discovery and reduce development iterations [3], but no AI-powered products ship to customers and no specific AI-driven cost savings have been quantified. Market Share (1/2): ATTRUBY is the fastest-growing challenger in the ATTR-CM market against Pfizer's dominant $3.5B+ tafamidis franchise, with Q2 2026 showing accelerating momentum [1][2]. However, Pfizer retains majority market share and ATTRUBY's ultimate competitive ceiling remains unproven. Product Pipeline (1/2): Multiple programs advancing across genetic diseases with late-stage pipeline progress reported alongside Q2 2026 results [2]. The hub-and-spoke model enables parallel development, though specific next-gen product timelines beyond current programs are limited. R&amp;D Intensity (1/1): R&amp;D spending remains extremely high relative to revenue as BridgeBio continues investing heavily in its broad pipeline even as ATTRUBY ramps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BridgeBio's mission — discovering and delivering transformative medicines for genetic diseases and cancers with clear unmet medical need — is specific, thoughtful, and connects the company's work to patients who often have no alternatives [3]. The hub-and-spoke model was deliberately designed to serve this mission at scale. The purpose is genuine and shapes strategy. Community Impact (0/2): No evidence of significant charitable programs, foundations, or community investment beyond standard pharma patient access programs was identified. Employee Retention (0/2): Glassdoor rating of 3.5/5 with mixed reviews — positive reviews cite 'excellent company culture,' entrepreneurial environment, and 'focused 100% on getting medicines to patients,' but negatives cite leadership changing goals constantly and budgets in flux [4]. No retention metrics distinguish the company. Insider Buying (0/2): No evidence of meaningful net insider buying; a shareholder lawsuit challenged board compensation of $1.2M per director annually versus $400K industry average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reflecting BridgeBio's pre-profit commercial transition. H1 2026 revenue of $438.2M (93% YoY growth) and Q2 revenue of $243.7M demonstrate explosive top-line momentum driven by ATTRUBY [1][2]. Revenue growth YoY of approximately 120% (Q2 basis) scores 1.0 and 5-year revenue CAGR is well above 10% target (score 1.0, 2x weight). However, D/E of -133.38% reflects negative shareholder equity from accumulated losses (score 0.0), ROE of -192.44% is deeply negative (score 0.0, 2x weight), and profit margin of -98.45% TTM reflects continued operating losses of $152.2M in Q2 2026 alone (score 0.0) [2][6]. Forward PE is negative and excluded. The company has $587M in cash against $1.86B in debt. Daily dollar volume of approximately $160M (2M shares x $80) provides strong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BridgeBio under founder-CEO Neil Kumar operates with a genuine purpose — treating genetic disease patients who often have no alternatives — and the hub-and-spoke model was designed to serve this mission at scale. ATTRUBY's commercial success validates the approach. However, the company is too young (founded 2015) to have its cause validated through sustained crises or leadership transitions, Glassdoor reviews cite shifting goals and budget flux, and board compensation controversies undermine principled leadership narrative.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BridgeBio has a genuine cause — treating genetic diseases and cancers where patients have clear unmet medical need — that is distinctive, service-oriented, and shapes strategic architecture through the hub-and-spoke model [3]. The mission connects to a vision larger than quarterly earnings. ATTRUBY's success in ATTR-CM validates that the cause produces results. However, at 11 years old, the company has not been tested through leadership transitions or market crises that would confirm the cause's durability beyond founder CEO Neil Kumar.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BridgeBio's hub-and-spoke model explicitly empowers autonomous teams to operate independently while receiving centralized support — a design that trusts front-line scientists [3]. Glassdoor reviews describe a culture valuing grit, intelligence, and entrepreneurial thinking, with employees 'focused 100% on getting medicines to patients' [4]. However, other reviews cite leadership constantly changing goals and budgets in flux, creating instability. Board compensation of $1.2M/director annually versus $400K at peers drew shareholder litigation, suggesting governance gaps [5].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BridgeBio positions ATTRUBY against Pfizer's tafamidis franchise primarily through clinical superiority claims and market share capture narratives rather than acknowledging Pfizer's strengths or framing competition as an opportunity for mutual improvement [1][2]. No management commentary was found referencing learning from rivals or acknowledging competitors'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BridgeBio has successfully evolved from a pure-discovery platform to a commercial-stage company with ATTRUBY generating $243.7M in quarterly revenue, and BEYONTTRA royalties provide diversification [2]. The $1B preferred equity raise and $500M buyback authorization demonstrate financial flexibility. However, no transformative pivot or willingness to abandon a profitable direction in service of a larger cause has been demonstrated — the evolution has been linear from bench to bedside.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Neil Kumar demonstrated courage maintaining a broad, capital-intensive pipeline through years of negative operating cash flow — the company has accumulated billions in losses before ATTRUBY revenues materialized [1][2]. The decision to raise $1B in preferred equity to fund multiple simultaneous programs rather than retreating to single-asset focus shows long-term conviction. However, board compensation practices triggering shareholder litigation suggest leadership may not consistently choose principle over self-interest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BridgeBio's ATTRUBY franchise continues to deliver exceptional commercial momentum — Q2 2026 total revenue of $243.7M (up from $110.6M in Q2 2025) brought H1 2026 revenue to $438.2M, with ATTRUBY net product revenue surging 211% YoY as the company expands its challenge to Pfizer's $3.5B+ tafamidis franchise in the large and underpenetrated ATTR-CM market [1][2]. BEYONTTRA adds $13.8M in royalty revenue from EU/Japan, diversifying the revenue base [2]. Net loss narrowed to $152.2M ($0.78/share) in Q2 from $181.9M ($0.95/share) in Q2 2025, demonstrating improving operating leverage as ATTRUBY scales. At ~$80/share with $15.6B market cap, the stock prices in significant ATTRUBY success but offers upside from pipeline readouts and international expansion. The Inspire Impact Score of 33 (ALIGNED) with zero negative attributions reflects responsible pharma practices.</w:t>
      </w:r>
    </w:p>
    <w:p>
      <w:pPr>
        <w:spacing w:after="120"/>
      </w:pPr>
      <w:r>
        <w:rPr>
          <w:rFonts w:ascii="Calibri" w:hAnsi="Calibri"/>
          <w:b w:val="0"/>
          <w:color w:val="3A4A28"/>
          <w:sz w:val="20"/>
        </w:rPr>
        <w:t>The critical bear case centers on deep unprofitability and capital structure complexity. Despite $438.2M in H1 2026 revenue, BridgeBio reported a TTM profit margin of -98.45% — the company is spending nearly $2 for every $1 generated — and GAAP profitability remains years away even at current growth rates [2][6]. Cash of $587M against $1.86B in debt creates negative shareholder equity (D/E -133%), and the $1B preferred equity raise adds further dilution risk. ROE of -192% reflects accumulated losses that dwarf the current revenue trajectory. Concentration risk is acute: ATTRUBY represents over 90% of product revenue, making the entire enterprise highly binary on a single product's competitive trajectory against Pfizer [1][2]. Glassdoor reviews citing constantly shifting goals and board compensation controversies suggest governance risks. If ATTRUBY adoption decelerates or generic competition emerges sooner than expected, the leveraged capital structure offers limited margin for error.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ATTRUBY revenue trajectory toward $1B+ annualized run-rate by year-end 2026, with Q2 2026 showing accelerating 211% YoY growth and potential inflection toward operating profitability [1][2]</w:t>
      </w:r>
    </w:p>
    <w:p>
      <w:pPr>
        <w:spacing w:before="40" w:after="40"/>
        <w:ind w:left="283"/>
      </w:pPr>
      <w:r>
        <w:rPr>
          <w:rFonts w:ascii="Calibri" w:hAnsi="Calibri"/>
          <w:b/>
          <w:color w:val="4A6B25"/>
          <w:sz w:val="20"/>
        </w:rPr>
        <w:t xml:space="preserve">2. </w:t>
      </w:r>
      <w:r>
        <w:rPr>
          <w:rFonts w:ascii="Calibri" w:hAnsi="Calibri"/>
          <w:b w:val="0"/>
          <w:color w:val="3A4A28"/>
          <w:sz w:val="20"/>
        </w:rPr>
        <w:t>Multiple late-stage pipeline readouts across genetic disease programs that could diversify revenue beyond ATTRUBY and validate the hub-and-spoke development model at scale [2]</w:t>
      </w:r>
    </w:p>
    <w:p>
      <w:pPr>
        <w:spacing w:before="40" w:after="40"/>
        <w:ind w:left="283"/>
      </w:pPr>
      <w:r>
        <w:rPr>
          <w:rFonts w:ascii="Calibri" w:hAnsi="Calibri"/>
          <w:b/>
          <w:color w:val="4A6B25"/>
          <w:sz w:val="20"/>
        </w:rPr>
        <w:t xml:space="preserve">3. </w:t>
      </w:r>
      <w:r>
        <w:rPr>
          <w:rFonts w:ascii="Calibri" w:hAnsi="Calibri"/>
          <w:b w:val="0"/>
          <w:color w:val="3A4A28"/>
          <w:sz w:val="20"/>
        </w:rPr>
        <w:t>International ATTRUBY regulatory approvals and BEYONTTRA royalty growth from EU/Japan expanding the addressable patient population and revenue diversification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TTM profit margin of -98.45% with negative shareholder equity (D/E -133%) and $1.86B in debt against $587M cash — path to GAAP profitability remains years away despite rapid revenue growth [2][6]</w:t>
      </w:r>
    </w:p>
    <w:p>
      <w:pPr>
        <w:spacing w:before="40" w:after="40"/>
        <w:ind w:left="283"/>
      </w:pPr>
      <w:r>
        <w:rPr>
          <w:rFonts w:ascii="Calibri" w:hAnsi="Calibri"/>
          <w:b/>
          <w:color w:val="4A6B25"/>
          <w:sz w:val="20"/>
        </w:rPr>
        <w:t xml:space="preserve">2. </w:t>
      </w:r>
      <w:r>
        <w:rPr>
          <w:rFonts w:ascii="Calibri" w:hAnsi="Calibri"/>
          <w:b w:val="0"/>
          <w:color w:val="3A4A28"/>
          <w:sz w:val="20"/>
        </w:rPr>
        <w:t>Over 90% revenue concentration in ATTRUBY makes the investment binary — any clinical setback, competitive response from Pfizer, or reimbursement restriction would disproportionately impact the enterprise [1][2]</w:t>
      </w:r>
    </w:p>
    <w:p>
      <w:pPr>
        <w:spacing w:before="40" w:after="40"/>
        <w:ind w:left="283"/>
      </w:pPr>
      <w:r>
        <w:rPr>
          <w:rFonts w:ascii="Calibri" w:hAnsi="Calibri"/>
          <w:b/>
          <w:color w:val="4A6B25"/>
          <w:sz w:val="20"/>
        </w:rPr>
        <w:t xml:space="preserve">3. </w:t>
      </w:r>
      <w:r>
        <w:rPr>
          <w:rFonts w:ascii="Calibri" w:hAnsi="Calibri"/>
          <w:b w:val="0"/>
          <w:color w:val="3A4A28"/>
          <w:sz w:val="20"/>
        </w:rPr>
        <w:t>Glassdoor reviews citing shifting goals and budget flux (3.5/5 rating) combined with board compensation practices triggering shareholder litigation introduce governance and execution risks at a critical scaling phase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BridgeBio's core business — developing and selling physical small-molecule drugs for genetic diseases — is structurally protected from AI displacement. Patients with ATTR-CM require acoramidis tablets that no AI tool can substitute [1]. Drug manufacturing, FDA clinical trial requirements, patent protection, and physician prescribing relationships create deep moats. The genetic disease focus further insulates the business, as these complex conditions require specialized molecular interventions. However, AI could accelerate competitor drug discovery cycles, potentially shortening BridgeBio's competitive lead in pipeline assets, and AI-driven clinical trial optimization could enable faster-follower entrants [3]. AI Opportunity (0/1): While BridgeBio applies AI and high-performance computing to accelerate molecule discovery in collaboration with research institutions, no AI products generate revenue and no quantified AI-driven financial impact has been reported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BridgeBio Pharma Q1 2026 Earnings — revenue $194.5M, ATTRUBY $180.6M (392% YoY), net loss $164M, May 2026</w:t>
      </w:r>
    </w:p>
    <w:p>
      <w:pPr>
        <w:spacing w:before="20" w:after="20"/>
        <w:ind w:left="170"/>
      </w:pPr>
      <w:r>
        <w:rPr>
          <w:rFonts w:ascii="Calibri" w:hAnsi="Calibri"/>
          <w:b/>
          <w:color w:val="4A6B25"/>
          <w:sz w:val="15"/>
        </w:rPr>
        <w:t xml:space="preserve">2. </w:t>
      </w:r>
      <w:r>
        <w:rPr>
          <w:rFonts w:ascii="Calibri" w:hAnsi="Calibri"/>
          <w:b w:val="0"/>
          <w:color w:val="3A4A28"/>
          <w:sz w:val="17"/>
        </w:rPr>
        <w:t>BridgeBio Pharma Q2 2026 Financial Results — revenue $243.7M, ATTRUBY 211% YoY, BEYONTTRA royalties $13.8M, net loss $152.2M, BusinessWire, July 2026</w:t>
      </w:r>
    </w:p>
    <w:p>
      <w:pPr>
        <w:spacing w:before="20" w:after="20"/>
        <w:ind w:left="170"/>
      </w:pPr>
      <w:r>
        <w:rPr>
          <w:rFonts w:ascii="Calibri" w:hAnsi="Calibri"/>
          <w:b/>
          <w:color w:val="4A6B25"/>
          <w:sz w:val="15"/>
        </w:rPr>
        <w:t xml:space="preserve">3. </w:t>
      </w:r>
      <w:r>
        <w:rPr>
          <w:rFonts w:ascii="Calibri" w:hAnsi="Calibri"/>
          <w:b w:val="0"/>
          <w:color w:val="3A4A28"/>
          <w:sz w:val="17"/>
        </w:rPr>
        <w:t>BridgeBio AI and Drug Discovery — Bloomberg, ScienceDirect, PubMed, re: AI/HPC for molecule discovery, 2025-2026</w:t>
      </w:r>
    </w:p>
    <w:p>
      <w:pPr>
        <w:spacing w:before="20" w:after="20"/>
        <w:ind w:left="170"/>
      </w:pPr>
      <w:r>
        <w:rPr>
          <w:rFonts w:ascii="Calibri" w:hAnsi="Calibri"/>
          <w:b/>
          <w:color w:val="4A6B25"/>
          <w:sz w:val="15"/>
        </w:rPr>
        <w:t xml:space="preserve">4. </w:t>
      </w:r>
      <w:r>
        <w:rPr>
          <w:rFonts w:ascii="Calibri" w:hAnsi="Calibri"/>
          <w:b w:val="0"/>
          <w:color w:val="3A4A28"/>
          <w:sz w:val="17"/>
        </w:rPr>
        <w:t>Glassdoor Reviews — BridgeBio employee reviews, 3.5/5 rating, mixed culture feedback,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BridgeBio Board Compensation Controversy — shareholder lawsuit challenging $1.2M/director annual compensation vs $400K peer average, 2024</w:t>
      </w:r>
    </w:p>
    <w:p>
      <w:pPr>
        <w:spacing w:before="20" w:after="20"/>
        <w:ind w:left="170"/>
      </w:pPr>
      <w:r>
        <w:rPr>
          <w:rFonts w:ascii="Calibri" w:hAnsi="Calibri"/>
          <w:b/>
          <w:color w:val="4A6B25"/>
          <w:sz w:val="15"/>
        </w:rPr>
        <w:t xml:space="preserve">6. </w:t>
      </w:r>
      <w:r>
        <w:rPr>
          <w:rFonts w:ascii="Calibri" w:hAnsi="Calibri"/>
          <w:b w:val="0"/>
          <w:color w:val="3A4A28"/>
          <w:sz w:val="17"/>
        </w:rPr>
        <w:t>StockAnalysis.com — BBIO key statistics, D/E -133%, ROE -192%, profit margin -98.45%,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