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BBWI</w:t>
      </w:r>
      <w:r>
        <w:rPr>
          <w:rFonts w:ascii="Calibri" w:hAnsi="Calibri"/>
          <w:b/>
          <w:color w:val="1A2010"/>
          <w:sz w:val="40"/>
        </w:rPr>
        <w:t xml:space="preserve">  Bath &amp; Body Works,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2026-10-17 · Inspire: -67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Specialty Retail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Bath &amp; Body Works is the dominant U.S. specialty retailer of home fragrance, body care, and soap products, operating approximately 1,850 company-operated and franchised stores globally with a growing e-commerce channel. Spun off from L Brands in August 2021, headquartered in Columbus, Ohio. CEO Daniel Heaf (joined May 2025 from Nike) is executing a 'Consumer First Formula' transformation with a newly appointed Chief Brand &amp; Product Officer (Veronique Gabai-Pinsky, May 2026). Q2 FY2026 net sales of ~$1.5B (-2.3% YoY), adjusted EPS $0.62 (+67.6% YoY). Full-year FY2026 guidance: sales decline 2.5-4%, adjusted EPS $2.60-$2.80.</w:t>
      </w:r>
    </w:p>
    <w:p>
      <w:r>
        <w:rPr>
          <w:rFonts w:ascii="Calibri" w:hAnsi="Calibri"/>
          <w:b/>
          <w:color w:val="6E8450"/>
          <w:sz w:val="18"/>
        </w:rPr>
        <w:t>9,071 Employees · https://www.bbwinc.com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Since the August 2021 spin-off from L Brands, Bath &amp; Body Works has executed incremental category extensions into men's grooming, laundry fragrance, and hair care, and built a 37M+ member loyalty program, but revenue has declined for four consecutive years from $7.56B (FY2023) to $7.29B (FY2026), indicating no transformative pivot has materialized [1][2]. AI Deployment (0/2): No evidence of AI-powered products shipping to customers or specific AI-driven cost savings; the company remains a traditional specialty retailer with no disclosed AI strategy. Market Share (2/2): Bath &amp; Body Works is the undisputed category leader in U.S. specialty personal care and home fragrance, with ~1,850 stores and brand recognition commanding premium pricing — no close direct competitor matches this scale, and international franchise sales grew 9% in Q1 2026 [1]. Product Pipeline (1/2): Appointment of first-ever Chief Brand &amp; Product Officer Veronique Gabai-Pinsky in May 2026 and CEO Daniel Heaf's 'Consumer First Formula' signal product innovation commitment, but no specific next-gen launches with revenue visibility have been announced [2]. R&amp;D Intensity (0/1): As a specialty retailer, product development spending is modest relative to revenue and below top-quartile intensity for the consumer discretionary sector.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Bath &amp; Body Works' purpose centers on 'making the world a brighter, happier place through the power of fragrance' — specific to the company's domain and connecting products to emotional well-being, but not deeply distinctive or proven to drive difficult strategic decisions beyond standard retail operations [4]. Community Impact (1/2): The company's inaugural ESG report (April 2023) details Scope 1 and 2 emissions reduction targets (50% by 2030), packaging sustainability goals (100% reusable/recyclable/compostable by 2030), and human rights commitments across the supply chain — responsible but standard corporate programs [4]. Employee Retention (1/2): Glassdoor rating of 3.7/5 from 11,000+ reviews with 70% recommending the company is in line with retail industry averages; however, three CEOs since the 2021 spin-off and a CFO departure in June 2026 undermine organizational stability signals [3]. Insider Buying (0/2): No evidence of meaningful net insider buying by CEO Daniel Heaf or senior executives in the past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Dividend stock with D/E and ROE excluded due to negative stockholders' equity (-$5.23/share book value from aggressive buybacks funded by $4.7B in debt) [1]. Valuation is exceptionally attractive: Forward P/E of 7.23 scores 1.0 (well below 20 target) and payout ratio of 21.1% scores 1.0 (well below 40% target). Revenue metrics are weak: YoY growth of -2.3% scores 0.59, and estimated 5-year CAGR of approximately -1.0% scores 0.27, reflecting persistent post-COVID revenue normalization [1][2]. Profit margin of 10.8% scores 0.54. Dividend history is short: 5 consecutive years paid since the 2021 spin-off scores 0.50 (2x weight), with 0 consecutive years of growth (flat $0.80/year since FY2023) and ~1.6% 5-year dividend growth CAGR scoring 0.27 (2x weight). Daily dollar volume of ~$131M provides ample liquidity.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Bath &amp; Body Works operates with a largely finite mindset, cycling through three CEOs since the 2021 spin-off while executing cost optimization and share buybacks to manage a declining revenue base. CEO Daniel Heaf's 'Consumer First Formula' reads as tactical restructuring rather than cause-driven leadership, and the company's strategy of leveraging the balance sheet to negative equity for buybacks while revenues contract for four consecutive years suggests prioritizing near-term financial engineering over durable capability building. The appointment of a Chief Brand &amp; Product Officer signals some long-term intent, but organizational instability and a securities class action lawsuit (January 2026) undermine infinite game credibility.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BBWI's purpose of 'making the world a brighter, happier place through the power of fragrance' is genuine but shallow in Sinek's framework — it describes what the company sells rather than articulating a durable, idealistic future state that people would sacrifice to advance [1]. With three CEOs since the 2021 spin-off, the cause lacks the leadership consistency that validates a Just Cause. The transformation strategy focuses on operational metrics rather than purpose-driven decisions.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Glassdoor's 3.7/5 rating with 70% recommending is adequate for retail, but only 51% see a positive business outlook, suggesting muted organizational confidence [3]. Three CEOs since 2021, a CFO departure in June 2026, and significant C-suite turnover (new CHRO, Chief Commercial Officer, CBPO all appointed within 12 months) create organizational instability rather than a high-trust environment. No evidence of psychological safety initiatives or employee empowerment programs.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BBWI's competitive language in public filings and earnings calls focuses on 'category leadership' and defending market dominance in home fragrance — a finite-game mindset of winning rather than improving [1]. No evidence that management acknowledges competitors' strengths or uses competitive pressure as motivation for self-improvement.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2021 L Brands spin-off represented meaningful structural transformation, separating from Victoria's Secret to become a focused fragrance and body care company [1]. Post-spin, the company expanded into adjacent categories (men's grooming, laundry fragrance) and grew international franchise presence. CEO Heaf's appointment of the first-ever CBPO signals willingness to evolve the operating model [2]. However, the core specialty retail model remains fundamentally unchanged, and recent moves are incremental optimization rather than transformative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making costly long-term bets or sacrificing short-term results for long-term capability. Revenue has declined for four consecutive years yet the company maintains aggressive buybacks funded by $4.7B in debt, driving book value to -$5.23/share — financial engineering that prioritizes near-term EPS over balance sheet resilience [1]. The CFO departed June 2026 without a permanent successor, and a securities class action lawsuit filed January 2026 alleges misleading communications about strategy effectiveness.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Bath &amp; Body Works at $20.14 with a $4.1B market cap is a deep value play on the dominant U.S. specialty fragrance and body care retailer, trading at just 5.3x trailing and 7.2x forward earnings with a 3.97% dividend yield and $765M in annual free cash flow [1][2]. The company is the uncontested category leader with ~1,850 stores, a 37M+ member loyalty program, and proprietary fragrance formulations that create habitual purchasing patterns. Q2 FY2026 adjusted EPS of $0.62 beat expectations with a 67.6% YoY increase, and management raised full-year adjusted EPS guidance to $2.60-$2.80 [1]. CEO Daniel Heaf (ex-Nike) and newly appointed CBPO Veronique Gabai-Pinsky are executing a 'Consumer First Formula' transformation aimed at brand elevation and product innovation [2]. Even at guided revenue declines, the business generates $1.27B in operating cash flow with 43% gross margins.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structural decline masquerading as value. Revenue has fallen for four consecutive years from $7.56B (FY2023) to a guided $7.0-7.1B range for FY2027, and Q2 FY2026 sales per average selling square foot declined 6.8%, suggesting persistent traffic erosion that promotional activity cannot offset [1][2]. The balance sheet carries $4.7B in debt against negative stockholders' equity (-$5.23/share), providing no margin of safety if the consumer spending environment deteriorates. Three CEOs since the 2021 spin-off, a CFO departure in June 2026, and a securities class action lawsuit filed January 2026 create organizational instability that undermines transformation credibility. The dividend has been flat at $0.80/year since FY2023 with zero growth, and Q2 profitability was flattered by ~$80M in tariff refunds that may not recur [1]. Specialty retail faces secular headwinds from mass-market competitors, private-label alternatives, and DTC brands that could erode BBWI's pricing power over time.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CEO Daniel Heaf's 'Consumer First Formula' transformation and first-ever CBPO Veronique Gabai-Pinsky driving product innovation, brand elevation, and comparable store sales stabilization — any revenue stabilization could trigger significant multiple expansion from 7.2x forward P/E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International franchise expansion providing capital-light growth offset to declining domestic comps — Q1 2026 international sales grew 9%, with meaningful whitespace in Asia, Europe, and Latin America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Deep value re-rating potential: $765M annual free cash flow, 3.97% dividend yield with 21% payout ratio, and 43% gross margins suggest the business is far more durable than the distressed valuation implies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Four consecutive years of revenue decline with FY2026 guidance of -2.5% to -4% and sales per selling square foot down 6.8% in Q2, suggesting structural traffic erosion in specialty retail that operational optimization cannot reverse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Overleveraged balance sheet with $4.7B debt against negative stockholders' equity and no permanent CFO creates financial fragility — any prolonged consumer downturn could pressure debt service capacity and dividend sustainability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Leadership instability with three CEOs since 2021 spin-off, CFO departure June 2026, and a securities class action lawsuit filed January 2026, compounding execution risk during a critical transformation period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Bath &amp; Body Works' core business — selling physical fragrance and personal care products through sensory-driven retail experiences — is structurally immune to AI disruption [1]. The in-store experience of testing scents, touching products, and seasonal discovery cannot be replicated by AI assistants or digital tools. Manufacturing candles, soaps, and lotions is a physical/chemical process, and the ~1,850-store network serves as both distribution and experiential marketing infrastructure that AI structurally cannot displace. Analysts have not flagged AI as a risk factor for specialty fragrance retail. AI may modestly improve competitor marketing and personalization capabilities, but cannot substitute the physical product or sensory purchasing behavior. AI Opportunity (0/1): No evidence of quantifiable AI-derived revenue. BBWI has not disclosed AI-powered products or meaningful AI-driven operational efficiencies.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Bath &amp; Body Works Q2 FY2026 Earnings Release — Net sales ~$1.5B (-2.3% YoY), Adj. EPS $0.62 (+67.6%), ~$80M tariff refunds, sales/sq ft -6.8%, FY2026 guidance narrowed,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Bath &amp; Body Works Leadership and Strategy — CEO Daniel Heaf (ex-Nike, May 2025), CBPO Veronique Gabai-Pinsky (May 2026), 'Consumer First Formula' transformation, Securities class action January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Bath &amp; Body Works Glassdoor Reviews — 3.7/5 stars, 11,173 reviews, CEO approval 56-59%, 70% recommend, 51% positive business outlook,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Bath &amp; Body Works ESG Report and Sustainability — Inaugural ESG report April 2023, Scope 1/2 reduction targets 50% by 2030, packaging goals, Sustainalytics ESG Risk Rating 14.2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