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BCE</w:t>
      </w:r>
      <w:r>
        <w:rPr>
          <w:rFonts w:ascii="Calibri" w:hAnsi="Calibri"/>
          <w:b/>
          <w:color w:val="1A2010"/>
          <w:sz w:val="40"/>
        </w:rPr>
        <w:t xml:space="preserve">  BCE Inc.</w:t>
      </w:r>
    </w:p>
    <w:p>
      <w:pPr>
        <w:spacing w:after="120"/>
      </w:pPr>
      <w:r>
        <w:rPr>
          <w:rFonts w:ascii="Calibri" w:hAnsi="Calibri"/>
          <w:b/>
          <w:color w:val="6E8450"/>
          <w:sz w:val="18"/>
        </w:rPr>
        <w:t>DIVIDEND SLEEVE · 2026-08-31 · Inspire: -62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Integrated Telecommunication Services · NYSE · Canada</w:t>
      </w:r>
    </w:p>
    <w:p>
      <w:pPr>
        <w:spacing w:after="80"/>
      </w:pPr>
      <w:r>
        <w:rPr>
          <w:rFonts w:ascii="Calibri" w:hAnsi="Calibri"/>
          <w:b w:val="0"/>
          <w:color w:val="3A4A28"/>
          <w:sz w:val="20"/>
        </w:rPr>
        <w:t>BCE Inc. is Canada's largest telecommunications company and parent of Bell Canada. BCE provides wireless (10.32M mobile subscribers), broadband Internet (4.89M high-speed subscribers), television, and enterprise communications services. Through Bell Media (CTV, Crave streaming at 5.07M subscribers) and the recently acquired Ziply Fiber in the US Pacific Northwest, BCE operates extensive fibre-optic, wireless, and data centre infrastructure. The company is pivoting toward AI-powered enterprise solutions through its Bell AI Fabric data centre initiative, targeting $2B in AI revenue by 2028. BCE cut its annualized dividend 56% from $3.99 to $1.75 in mid-2025 to fund accelerated capital investments. Market cap ~$21.9B.</w:t>
      </w:r>
    </w:p>
    <w:p>
      <w:r>
        <w:rPr>
          <w:rFonts w:ascii="Calibri" w:hAnsi="Calibri"/>
          <w:b/>
          <w:color w:val="6E8450"/>
          <w:sz w:val="18"/>
        </w:rPr>
        <w:t>44,610 Employees · https://www.bce.ca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BCE completed the Ziply Fiber acquisition in 2024-2025, expanding from a Canada-only telecom into the US Pacific Northwest market, and launched the Bell AI Fabric data centre initiative — meaningful geographic and strategic extensions but not transformative business model pivots [1][3]. AI Deployment (2/2): AI-powered solutions revenue surged 113% YoY in Q1 2026, driven by concrete products including Ateko managed IT, Bell Cyber security, and Bell AI Fabric cloud and data centre services; CEO Bibic raised the 2028 AI revenue target from $1.5B to $2B [1][3]. Market Share (1/2): Bell remains Canada's largest telecommunications provider with dominant positions in wireless, broadband, and enterprise services, but operates within a regulated oligopoly alongside Rogers and Telus rather than defining or leading a new market category [2]. Product Pipeline (1/2): Bell AI Fabric is expanding with a 300 MW data centre in Saskatchewan and fibre-to-the-home rollout continues with 49,525 net subscriber activations in Q1 and 54,883 in Q2 2026, but timelines and revenue visibility are evolutionary rather than breakthrough [1][2]. R&amp;D Intensity (0/1): Telecom capex is substantial at approximately $4.5B annually, but this is primarily network infrastructure investment; dedicated R&amp;D spending as a percentage of revenue remains below technology sector peers.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BCE's purpose — 'Advancing how Canadians connect with each other and the world' — clearly identifies the company's societal role and audience, connecting telecommunications infrastructure to national connectivity, but is functional rather than transformative and lacks the aspirational depth of a vision that could never be fully achieved [6]. Community Impact (2/2): The Bell Let's Talk initiative is the largest corporate commitment to mental health in Canada, having committed $155M+ to mental health programs since its 2010 launch across more than 1,500 partner organizations including hospitals, universities, and community service providers — a distinctive, sustained, and measurable social investment [6]. Employee Retention (0/2): Approximately 6,500 positions were eliminated across 2024-2025 during restructuring, including 4,800 in 2024 alone (~9% of workforce). No specific tenure or voluntary turnover data is publicly available, and mass layoffs undermine any retention narrative. Insider Buying (0/2): Mixed insider activity — Director Louis Vachon purchased CAD $322,700 in shares, but executives including Sean Cohan sold shares totaling CAD $376,464, and overall insider ownership stands at just 0.02% of outstanding shares.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adjusted metrics (Dividend sleeve). Note: GAAP TTM profit margin (25.89%) and ROE (30.47%) are temporarily inflated by ~$4.7B one-time gain from MLSE stake sale; scoring uses adjusted figures (profit margin ~10.8%, ROE ~14%) that reflect ongoing business economics [5]. Q2 2026 consolidated revenue rose 1.5% with adjusted EBITDA margin of ~43.8% [2]. D/E of 173% reflects heavy telecom leverage with $29.4B total debt against $337M cash [5]. Forward P/E of 13.26 is well below the 20x target, reflecting value pricing and the market's scepticism of flat growth. Revenue growth YoY of 4.0% (Q1) and 1.5% (Q2) falls short of the 10% target, and the 5-year revenue CAGR of ~1.5% reflects structural stagnation in legacy segments [1][2]. Dividend metrics bifurcated: consecutive years paid at 17+ scores full marks, but the 56% cut in 2025 resets consecutive years of growth to 0 and produces a deeply negative 5yr dividend growth CAGR of -13%, heavily penalizing two 2x-weighted metrics [7]. Infrastructure calculation: D/E 173% (0.55, 1x), ROE 14% (0.93, 1x), Rev Growth YoY 4.0% (0.80, 1x), Rev Growth 5yr CAGR 1.5% (0.43, 1x), Fwd P/E 13.26 (1.0, 1x), Profit Margin 10.8% (0.54, 1x), Payout Ratio 70% (0.50, 1x), Consec Years Paid 17 (1.0, 2x), Consec Years Growth 0 (0.0, 1x), 5yr Div Growth CAGR -13% (0.0, 2x). Weighted sum = 6.75/12 x 10 = 5.6, rounds to 6. Liquidity easily clears floor at ~$63M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BCE demonstrates some elements of infinite thinking through its 140+ year commitment to connecting Canadians and the Bell Let's Talk mental health initiative, but the company's behaviour predominantly reflects finite game pressures. The 56% dividend cut in 2025 was partly courageous long-term investment in AI and fibre infrastructure, but also partly forced by financial necessity — high leverage and heavy capex left management limited alternatives [7]. The 6,500 layoffs in 2024-2025 represent a severe erosion of organizational trust. The oligopolistic Canadian telecom market limits genuine competitive learning, and leadership's public communications emphasize revenue targets and market share metrics rather than purpose-driven transformation.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'Advancing how Canadians connect with each other and the world' is a genuine purpose validated by 140+ years of telecommunications infrastructure investment, and Bell Let's Talk — the largest corporate mental health commitment in Canada at $155M+ since 2010 — demonstrates commitment to national wellbeing that extends meaningfully beyond profit [6]. However, the purpose has not been tested through radical strategic reinvention; BCE's core business remains fundamentally telecommunications infrastructure, and recent pivots toward AI data centres appear driven more by market opportunity and financial necessity than by the Just Cause demanding transformation.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elimination of approximately 6,500 positions across 2024-2025 — including 4,800 in a single round (9% of workforce) — represents a severe breach of organizational trust and psychological safety. The Unifor 'Shame on Bell' campaign highlighted the tension between executive compensation and mass layoffs, further eroding the Circle of Safety. No evidence of exceptional employee empowerment, long tenure, or cultural practices that create psychological safety was found. The restructuring signals a transactional employment relationship where headcount is a cost to optimize rather than a community to protect.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BCE competes in a Canadian telecom oligopoly alongside Rogers and Telus with structurally limited competitive pressure and minimal incentive for genuine learning-from-rivals mindset. BCE's competitive language emphasizes being Canada's 'largest' and 'leading' provider — framing competition as a market share contest rather than mutual improvement — and the protected oligopolistic structure reduces the urgency for self-improvement through competitive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BCE's strategic pivot toward AI infrastructure — committing to build 300 MW data centres, acquiring Ziply Fiber to enter the US market, and targeting $2B in AI enterprise revenue by 2028 — represents meaningful evolution from a traditional Canadian telecom into a hybrid telecom-AI infrastructure provider [1][3]. However, the core telecom business remains the overwhelming majority of revenue, and this is more an adjacent expansion following industry trends than the transformative, burn-the-boats reinvention that earns the highest marks.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2025 dividend cut from CAD $3.99 to $1.75 — a 56% reduction — was deeply unpopular with the income-investor base that relied on BCE's 16-year dividend growth streak, and required genuine courage to redirect cash flow toward fibre buildout, AI data centres, and Ziply Fiber integration [7][3]. However, the cut was partly forced by financial circumstances — D/E of 173%, heavy capex requirements, and rising interest costs created a payout ratio that was becoming unsustainable — blurring the line between courageous vision and financial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BCE at 13.26x forward earnings offers a deeply discounted entry into Canada's dominant telecom infrastructure with a restructured 5.41% dividend yield and catalysts from fibre subscriber growth, AI data centre revenue, and the Ziply Fiber US expansion [5]. Q1 2026 revenue grew 4.0% to CAD $6,168M with Bell Business Markets up 9.7%, AI solutions surging 113%, and Crave streaming reaching 5.07M subscribers (+23% YoY) in Q2 [1][2]. The post-dividend cut payout ratio provides ample free cash flow for deleveraging from 3.5x toward the 3.0x net debt leverage target by 2030, while the 21.87% discount to analyst consensus target of $28.59 suggests the market has overpenalized the dividend reset [5].</w:t>
      </w:r>
    </w:p>
    <w:p>
      <w:pPr>
        <w:spacing w:after="120"/>
      </w:pPr>
      <w:r>
        <w:rPr>
          <w:rFonts w:ascii="Calibri" w:hAnsi="Calibri"/>
          <w:b w:val="0"/>
          <w:color w:val="3A4A28"/>
          <w:sz w:val="20"/>
        </w:rPr>
        <w:t>The bear case centres on BCE's stretched balance sheet and unproven pivot economics. D/E of 173% with $29.4B in total debt and only $337M cash leaves BCE vulnerable to rising interest rates and limits financial flexibility if the $2B AI revenue target proves overly ambitious [5]. The 5yr revenue CAGR of just 1.5% reflects structural stagnation in legacy telecom segments — AI data centre revenue must deliver at scale to offset secular decline in traditional broadcasting and wireline telephony. The 56% dividend cut in 2025 destroyed BCE's identity as a reliable income stock; any further reduction or failure to resume dividend growth within 2-3 years could permanently impair the valuation [7]. Capital intensity surging to 20% (vs. 12-15% historically) means free cash flow is pressured even post-cut. Adjusted EPS is guiding down 5-11% for 2026, and the CRTC regulatory environment remains 'unsupportive' per management, with aggressive competitive pricing compressing margins [1]. The Inspire Impact Score of -62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Bell AI Fabric data centre expansion (including 300 MW Saskatchewan facility) driving toward the $2B AI enterprise revenue target by 2028, with 113% YoY AI solutions revenue growth already demonstrated and CEO Bibic raising guidance by a third [1][3]</w:t>
      </w:r>
    </w:p>
    <w:p>
      <w:pPr>
        <w:spacing w:before="40" w:after="40"/>
        <w:ind w:left="283"/>
      </w:pPr>
      <w:r>
        <w:rPr>
          <w:rFonts w:ascii="Calibri" w:hAnsi="Calibri"/>
          <w:b/>
          <w:color w:val="4A6B25"/>
          <w:sz w:val="20"/>
        </w:rPr>
        <w:t xml:space="preserve">2. </w:t>
      </w:r>
      <w:r>
        <w:rPr>
          <w:rFonts w:ascii="Calibri" w:hAnsi="Calibri"/>
          <w:b w:val="0"/>
          <w:color w:val="3A4A28"/>
          <w:sz w:val="20"/>
        </w:rPr>
        <w:t>Ziply Fiber integration expanding BCE's addressable market into the US Pacific Northwest, contributing to fibre subscriber growth of 54,883 FTTH net activations in Q2 2026 (+14.5% YoY), with potential for further US wireline acquisitions [2]</w:t>
      </w:r>
    </w:p>
    <w:p>
      <w:pPr>
        <w:spacing w:before="40" w:after="40"/>
        <w:ind w:left="283"/>
      </w:pPr>
      <w:r>
        <w:rPr>
          <w:rFonts w:ascii="Calibri" w:hAnsi="Calibri"/>
          <w:b/>
          <w:color w:val="4A6B25"/>
          <w:sz w:val="20"/>
        </w:rPr>
        <w:t xml:space="preserve">3. </w:t>
      </w:r>
      <w:r>
        <w:rPr>
          <w:rFonts w:ascii="Calibri" w:hAnsi="Calibri"/>
          <w:b w:val="0"/>
          <w:color w:val="3A4A28"/>
          <w:sz w:val="20"/>
        </w:rPr>
        <w:t>Post-dividend cut free cash flow flexibility enabling deleveraging from 3.5x toward 3.0x net debt leverage by 2030, with 2026 guidance projecting FCF of CAD $3.3-3.5B and potential for dividend growth reinstatement once leverage targets are met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D/E of 173% with $29.4B total debt and only $337M cash creates acute balance sheet fragility — target net debt leverage of 3.5x by end of 2027 requires sustained EBITDA growth that is not guaranteed given competitive Canadian telecom dynamics and CRTC regulatory headwinds [5]</w:t>
      </w:r>
    </w:p>
    <w:p>
      <w:pPr>
        <w:spacing w:before="40" w:after="40"/>
        <w:ind w:left="283"/>
      </w:pPr>
      <w:r>
        <w:rPr>
          <w:rFonts w:ascii="Calibri" w:hAnsi="Calibri"/>
          <w:b/>
          <w:color w:val="4A6B25"/>
          <w:sz w:val="20"/>
        </w:rPr>
        <w:t xml:space="preserve">2. </w:t>
      </w:r>
      <w:r>
        <w:rPr>
          <w:rFonts w:ascii="Calibri" w:hAnsi="Calibri"/>
          <w:b w:val="0"/>
          <w:color w:val="3A4A28"/>
          <w:sz w:val="20"/>
        </w:rPr>
        <w:t>Adjusted EPS declining 5-11% in 2026 despite 1-5% revenue growth, as capital intensity surge to 20% and Ziply integration costs compress earnings — the stock cannot re-rate on a declining earnings trajectory [1]</w:t>
      </w:r>
    </w:p>
    <w:p>
      <w:pPr>
        <w:spacing w:before="40" w:after="40"/>
        <w:ind w:left="283"/>
      </w:pPr>
      <w:r>
        <w:rPr>
          <w:rFonts w:ascii="Calibri" w:hAnsi="Calibri"/>
          <w:b/>
          <w:color w:val="4A6B25"/>
          <w:sz w:val="20"/>
        </w:rPr>
        <w:t xml:space="preserve">3. </w:t>
      </w:r>
      <w:r>
        <w:rPr>
          <w:rFonts w:ascii="Calibri" w:hAnsi="Calibri"/>
          <w:b w:val="0"/>
          <w:color w:val="3A4A28"/>
          <w:sz w:val="20"/>
        </w:rPr>
        <w:t>Canadian immigration slowdown (reduced from 500K+ to ~300K annually) structurally reduces wireless and Internet subscriber growth, the primary organic growth engine, while 6,500 layoffs across 2024-2025 raise governance questions about the balance between cost optimization and workforce investment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BCE's core business — fibre-optic networks, wireless towers, broadband infrastructure, and data centre facilities — constitutes essential physical-world telecommunications infrastructure that AI structurally cannot displace [1]. AI actually increases demand for Bell's infrastructure through data centre connectivity needs and higher bandwidth consumption from AI workloads; the Ziply Fiber acquisition further strengthens this moat with additional US fibre assets. However, Bell Media (CTV, Crave) faces moderate AI disruption risk in content creation and advertising targeting, and traditional telecom customer service operations are partially exposed to AI-driven automation, contributing to the 6,500 job cuts across 2024-2025 [2][3]. AI Opportunity (1/1): BCE generates quantifiable and rapidly growing AI revenue through Bell AI Fabric data centre services, Ateko managed IT, and Bell Cyber security products, with AI-powered solutions revenue growing 113% YoY in Q1 2026 and management raising the 2028 AI enterprise revenue target to $2B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-62</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BCE Q1 2026 Earnings Release — operating revenue CAD $6,168M (+4.0% YoY), AI solutions revenue +113%, FTTH net activations 49,525, May 2026</w:t>
      </w:r>
    </w:p>
    <w:p>
      <w:pPr>
        <w:spacing w:before="20" w:after="20"/>
        <w:ind w:left="170"/>
      </w:pPr>
      <w:r>
        <w:rPr>
          <w:rFonts w:ascii="Calibri" w:hAnsi="Calibri"/>
          <w:b/>
          <w:color w:val="4A6B25"/>
          <w:sz w:val="15"/>
        </w:rPr>
        <w:t xml:space="preserve">2. </w:t>
      </w:r>
      <w:r>
        <w:rPr>
          <w:rFonts w:ascii="Calibri" w:hAnsi="Calibri"/>
          <w:b w:val="0"/>
          <w:color w:val="3A4A28"/>
          <w:sz w:val="17"/>
        </w:rPr>
        <w:t>BCE Q2 2026 Earnings Results — Revenue $6.18B (+1.5%), Adjusted EBITDA +1%, Crave 5.07M subscribers (+23%), FTTH net activations 54,883 (+14.5%), August 2026</w:t>
      </w:r>
    </w:p>
    <w:p>
      <w:pPr>
        <w:spacing w:before="20" w:after="20"/>
        <w:ind w:left="170"/>
      </w:pPr>
      <w:r>
        <w:rPr>
          <w:rFonts w:ascii="Calibri" w:hAnsi="Calibri"/>
          <w:b/>
          <w:color w:val="4A6B25"/>
          <w:sz w:val="15"/>
        </w:rPr>
        <w:t xml:space="preserve">3. </w:t>
      </w:r>
      <w:r>
        <w:rPr>
          <w:rFonts w:ascii="Calibri" w:hAnsi="Calibri"/>
          <w:b w:val="0"/>
          <w:color w:val="3A4A28"/>
          <w:sz w:val="17"/>
        </w:rPr>
        <w:t>BNN Bloomberg — Bell CEO 'confident' in AI revenue targets, $2B AI revenue target by 2028, Bell AI Fabric 300 MW data centre, May-August 2026</w:t>
      </w:r>
    </w:p>
    <w:p>
      <w:pPr>
        <w:spacing w:before="20" w:after="20"/>
        <w:ind w:left="170"/>
      </w:pPr>
      <w:r>
        <w:rPr>
          <w:rFonts w:ascii="Calibri" w:hAnsi="Calibri"/>
          <w:b/>
          <w:color w:val="4A6B25"/>
          <w:sz w:val="15"/>
        </w:rPr>
        <w:t xml:space="preserve">4. </w:t>
      </w:r>
      <w:r>
        <w:rPr>
          <w:rFonts w:ascii="Calibri" w:hAnsi="Calibri"/>
          <w:b w:val="0"/>
          <w:color w:val="3A4A28"/>
          <w:sz w:val="17"/>
        </w:rPr>
        <w:t>MacroTrends / StockAnalysis — BCE Revenue History and Profit Margin, 5yr CAGR ~1.5%,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 Yahoo Finance — BCE Key Statistics: Forward P/E 13.26x, D/E 173%, ROE 30.47% (GAAP), Stock Price $23.46, accessed August 2026</w:t>
      </w:r>
    </w:p>
    <w:p>
      <w:pPr>
        <w:spacing w:before="20" w:after="20"/>
        <w:ind w:left="170"/>
      </w:pPr>
      <w:r>
        <w:rPr>
          <w:rFonts w:ascii="Calibri" w:hAnsi="Calibri"/>
          <w:b/>
          <w:color w:val="4A6B25"/>
          <w:sz w:val="15"/>
        </w:rPr>
        <w:t xml:space="preserve">6. </w:t>
      </w:r>
      <w:r>
        <w:rPr>
          <w:rFonts w:ascii="Calibri" w:hAnsi="Calibri"/>
          <w:b w:val="0"/>
          <w:color w:val="3A4A28"/>
          <w:sz w:val="17"/>
        </w:rPr>
        <w:t>BCE.ca — Corporate Purpose and Bell Let's Talk Mental Health Initiative ($155M+ committed since 2010)</w:t>
      </w:r>
    </w:p>
    <w:p>
      <w:pPr>
        <w:spacing w:before="20" w:after="20"/>
        <w:ind w:left="170"/>
      </w:pPr>
      <w:r>
        <w:rPr>
          <w:rFonts w:ascii="Calibri" w:hAnsi="Calibri"/>
          <w:b/>
          <w:color w:val="4A6B25"/>
          <w:sz w:val="15"/>
        </w:rPr>
        <w:t xml:space="preserve">7. </w:t>
      </w:r>
      <w:r>
        <w:rPr>
          <w:rFonts w:ascii="Calibri" w:hAnsi="Calibri"/>
          <w:b w:val="0"/>
          <w:color w:val="3A4A28"/>
          <w:sz w:val="17"/>
        </w:rPr>
        <w:t>Yahoo Finance / Seeking Alpha — BCE Dividend History, 56% cut from CAD $3.99 to $1.75 annualized, effective July 2025, payout target reset to 40-55% of FCF</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