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BCML</w:t>
      </w:r>
      <w:r>
        <w:rPr>
          <w:rFonts w:ascii="Calibri" w:hAnsi="Calibri"/>
          <w:b/>
          <w:color w:val="1A2010"/>
          <w:sz w:val="40"/>
        </w:rPr>
        <w:t xml:space="preserve">  BayCom Corp</w:t>
      </w:r>
    </w:p>
    <w:p>
      <w:pPr>
        <w:spacing w:after="120"/>
      </w:pPr>
      <w:r>
        <w:rPr>
          <w:rFonts w:ascii="Calibri" w:hAnsi="Calibri"/>
          <w:b/>
          <w:color w:val="6E8450"/>
          <w:sz w:val="18"/>
        </w:rPr>
        <w:t>DIVIDEND SLEEVE · 2026-10-10 · Inspire: 34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NMS · United States</w:t>
      </w:r>
    </w:p>
    <w:p>
      <w:pPr>
        <w:spacing w:after="80"/>
      </w:pPr>
      <w:r>
        <w:rPr>
          <w:rFonts w:ascii="Calibri" w:hAnsi="Calibri"/>
          <w:b w:val="0"/>
          <w:color w:val="3A4A28"/>
          <w:sz w:val="20"/>
        </w:rPr>
        <w:t>BayCom Corp is the bank holding company for United Business Bank, providing commercial banking services to small and mid-sized businesses, service professionals, and individuals. The company offers commercial real estate loans, C&amp;I lending, SBA loans, treasury management, and deposit products through branches in Northern and Southern California, Nevada, Colorado, Washington, and New Mexico. Market cap of approximately $333M with TTM revenue of roughly $96M.</w:t>
      </w:r>
    </w:p>
    <w:p>
      <w:r>
        <w:rPr>
          <w:rFonts w:ascii="Calibri" w:hAnsi="Calibri"/>
          <w:b/>
          <w:color w:val="6E8450"/>
          <w:sz w:val="18"/>
        </w:rPr>
        <w:t>329 Employees · https://www.unitedbusinessbank.com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BayCom operates a traditional community banking model that has not changed materially in the past five years — the company offers the same commercial real estate lending, C&amp;I loans, and deposit products it has always provided, with no new product launches, technology pivots, or business model transformations [3][4]. AI Deployment (0/2): No AI-powered products, services, or quantified AI-driven efficiency gains have been announced; the company's 10-K filings make no mention of artificial intelligence initiatives [3]. Market Share (0/2): At $333M market cap and 329 employees, BayCom is a micro-cap community bank with no evidence of market share leadership or meaningful share gains in any of its geographic markets [4]. Product Pipeline (0/2): No next-generation banking products, fintech partnerships, or technology platform investments have been disclosed; the company offers standard community banking services [3]. R&amp;D Intensity (0/1): Community banks do not typically invest in R&amp;D, and BayCom has disclosed no technology development spending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United Business Bank's purpose appears generic — the incoming leadership team describes a 'credit culture built on discipline' and a 'high-performance culture' focused on 'relentless execution,' language that is operational and interchangeable with any community bank [2]. No distinctive mission, vision, or purpose statement articulating why the bank exists beyond serving clients and generating returns was found on the company website or in public materials. Community Impact (0/2): While community banks inherently serve local businesses, no specific charitable programs, foundation, community investment initiatives, or measurable community impact beyond standard banking services has been identified for BayCom [3]. Employee Retention (0/2): No voluntary turnover data, average employee tenure figures, or specific retention metrics are publicly available; the company employs only 329 people [4]. Insider Buying (0/2): No evidence of meaningful net insider buying by executive leadership in the last 12 months was found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Forward P/E of 12.6x is well below the 20x target (score 1.0), reflecting an inexpensive valuation supported by expected EPS of $2.42 — roughly double the trailing $1.20, indicating strong earnings recovery ahead [4]. Profit margin of 13.7% is moderate versus the 20% target (score 0.68), typical for a community bank. ROE of 3.9% is weak versus the 15% target (score 0.26), reflecting temporarily depressed earnings [4]. Revenue growth YoY of -18.4% is near the -20% floor (score 0.05), though this reflects quarterly volatility in how bank revenue is measured rather than structural decline — TTM revenue was approximately $144M per some trackers [1]. The 3-year revenue CAGR of 0.2% is flat (score 0.35). Payout ratio of 95.8% is near the 100% floor (score 0.07), reflecting the dividend being maintained through a period of depressed earnings. Consecutive years paid of 5 (score 0.5, 2x weight) and consecutive growth of 3 years (score 0.3) are modest. The 5-year dividend growth CAGR is distorted by a very low starting base in 2022 ($0.20 annual). D/E unavailable for this bank holding company and excluded. Daily dollar volume of $1.66M clears the $1M liquidity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BayCom operates with a finite mindset, focused on improving trading multiples and executing 'transformational combinations' for geographic expansion rather than advancing a durable cause. The April 2026 leadership transition installed a new management team explicitly focused on financial engineering — building a growth engine, improving the trading multiple, and completing its Western Region footprint through M&amp;A. While the bank has operated for over 20 years and built a multi-state presence, there is no evidence of a Just Cause, courageous long-term thinking, or an organizational culture that transcends quarterly execution metrics.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BayCom articulates no vision of a better future. The incoming leadership's stated priorities are explicitly finite: 'building a growth engine, improving our trading multiple, and executing on the larger, more transformational combinations' [2]. These are financial performance objectives, not a purpose worth sacrificing for. The company exists to make money for shareholders and grow through acquisitions — a textbook finite-game player in Sinek's framework.</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BayCom has maintained stable banking operations for over 20 years and the April 2026 leadership transition was planned and board-approved, suggesting baseline organizational stability [2]. The bank has operated through multiple economic cycles including the GFC without failure. However, the abrupt installation of an entirely new executive team (CEO, COO, CFO all replaced) introduces cultural uncertainty, and no evidence of exceptional employee trust, empowerment, or psychological safety has been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BayCom's competitive strategy is framed around acquisition and geographic expansion — 'completing its Western Region footprint' through 'transformational combinations' [2]. This is a market-share accumulation strategy focused on beating or absorbing competitors, not learning from them. No management commentary references rivals' strengths or using competitive pressure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BayCom has demonstrated incremental geographic evolution, expanding from a single Bay Area community bank to a multi-state platform spanning California, Nevada, Colorado, Washington, and New Mexico through organic growth and selective acquisitions [3]. The company also rebranded from Bay Commercial Bank to BayCom Corp in 2017 to reflect its broader geographic scope. These changes are meaningful but represent standard community bank growth strategies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decisions that sacrificed near-term results for long-term capability. The leadership transition was motivated by growth and valuation objectives, not by a principled stance or long-term strategic vision [2]. The incoming team's priorities — improving the trading multiple, executing M&amp;A — optimize for financial outcomes rather than building enduring organizational capability. The high payout ratio of 95.8% during a period of depressed earnings prioritizes maintaining the dividend over reinvesting in the business.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BayCom Corp at $30.53 with a $333M market cap is undergoing a complete leadership overhaul designed to transform a sleepy community bank into a growth-oriented acquirer. Q1 2026 net income of $8.2M ($0.75 EPS) beat both the prior quarter ($6.9M) and the year-ago period ($5.7M), demonstrating an earnings inflection [1]. At 12.6x forward earnings with expected EPS of $2.42 (roughly double trailing), the valuation is undemanding for a bank with improving fundamentals. The 3.93% dividend yield provides income while the new management team executes its Western Region consolidation strategy, and the PEG ratio of 0.99 suggests the market has not fully priced in the earnings growth trajectory.</w:t>
      </w:r>
    </w:p>
    <w:p>
      <w:pPr>
        <w:spacing w:after="120"/>
      </w:pPr>
      <w:r>
        <w:rPr>
          <w:rFonts w:ascii="Calibri" w:hAnsi="Calibri"/>
          <w:b w:val="0"/>
          <w:color w:val="3A4A28"/>
          <w:sz w:val="20"/>
        </w:rPr>
        <w:t>The bear case centers on execution risk from the leadership transition and structural limitations of community banking. The entire C-suite was replaced in April 2026 — CEO, COO, and CFO all departed — creating cultural and strategic discontinuity at a 329-person organization [2]. The new team's stated goal of 'transformational combinations' implies acquisition-driven growth, which carries integration risk and often destroys value in community banking. Revenue has been essentially flat over three years (0.2% CAGR), ROE of 3.9% is well below the cost of equity, and the 95.8% payout ratio is unsustainable at current earnings levels. With daily dollar volume of only $1.66M, the stock is marginally liquid. The community banking model faces secular headwinds from fintech competition for deposits and lending, rising compliance costs, and potential CRE loan losses if commercial real estate markets weaken in the bank's California-heavy footprint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Earnings normalization with forward EPS of $2.42 roughly doubling trailing EPS of $1.20, potentially compressing the P/E from 25.4x to 12.6x and revealing underlying profitability as credit quality stabilizes [4]</w:t>
      </w:r>
    </w:p>
    <w:p>
      <w:pPr>
        <w:spacing w:before="40" w:after="40"/>
        <w:ind w:left="283"/>
      </w:pPr>
      <w:r>
        <w:rPr>
          <w:rFonts w:ascii="Calibri" w:hAnsi="Calibri"/>
          <w:b/>
          <w:color w:val="4A6B25"/>
          <w:sz w:val="20"/>
        </w:rPr>
        <w:t xml:space="preserve">2. </w:t>
      </w:r>
      <w:r>
        <w:rPr>
          <w:rFonts w:ascii="Calibri" w:hAnsi="Calibri"/>
          <w:b w:val="0"/>
          <w:color w:val="3A4A28"/>
          <w:sz w:val="20"/>
        </w:rPr>
        <w:t>New management team executing Western Region M&amp;A strategy — 'transformational combinations' could create scale economies and franchise value if accretive acquisitions are completed in target markets [2]</w:t>
      </w:r>
    </w:p>
    <w:p>
      <w:pPr>
        <w:spacing w:before="40" w:after="40"/>
        <w:ind w:left="283"/>
      </w:pPr>
      <w:r>
        <w:rPr>
          <w:rFonts w:ascii="Calibri" w:hAnsi="Calibri"/>
          <w:b/>
          <w:color w:val="4A6B25"/>
          <w:sz w:val="20"/>
        </w:rPr>
        <w:t xml:space="preserve">3. </w:t>
      </w:r>
      <w:r>
        <w:rPr>
          <w:rFonts w:ascii="Calibri" w:hAnsi="Calibri"/>
          <w:b w:val="0"/>
          <w:color w:val="3A4A28"/>
          <w:sz w:val="20"/>
        </w:rPr>
        <w:t>Dividend yield of 3.93% provides meaningful income support while investors wait for the growth strategy to materialize, with potential for dividend sustainability improving as earnings recover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Complete C-suite replacement in April 2026 creates execution and cultural risk — new CEO, COO, and CFO must learn the organization while simultaneously executing an ambitious growth strategy at a 329-person bank with no margin for error [2]</w:t>
      </w:r>
    </w:p>
    <w:p>
      <w:pPr>
        <w:spacing w:before="40" w:after="40"/>
        <w:ind w:left="283"/>
      </w:pPr>
      <w:r>
        <w:rPr>
          <w:rFonts w:ascii="Calibri" w:hAnsi="Calibri"/>
          <w:b/>
          <w:color w:val="4A6B25"/>
          <w:sz w:val="20"/>
        </w:rPr>
        <w:t xml:space="preserve">2. </w:t>
      </w:r>
      <w:r>
        <w:rPr>
          <w:rFonts w:ascii="Calibri" w:hAnsi="Calibri"/>
          <w:b w:val="0"/>
          <w:color w:val="3A4A28"/>
          <w:sz w:val="20"/>
        </w:rPr>
        <w:t>Unsustainable 95.8% payout ratio at current depressed earnings level — if earnings recovery stalls or CRE losses materialize, the dividend could be cut, removing the primary reason income investors hold the stock [4]</w:t>
      </w:r>
    </w:p>
    <w:p>
      <w:pPr>
        <w:spacing w:before="40" w:after="40"/>
        <w:ind w:left="283"/>
      </w:pPr>
      <w:r>
        <w:rPr>
          <w:rFonts w:ascii="Calibri" w:hAnsi="Calibri"/>
          <w:b/>
          <w:color w:val="4A6B25"/>
          <w:sz w:val="20"/>
        </w:rPr>
        <w:t xml:space="preserve">3. </w:t>
      </w:r>
      <w:r>
        <w:rPr>
          <w:rFonts w:ascii="Calibri" w:hAnsi="Calibri"/>
          <w:b w:val="0"/>
          <w:color w:val="3A4A28"/>
          <w:sz w:val="20"/>
        </w:rPr>
        <w:t>Marginal liquidity with daily dollar volume of only $1.66M and micro-cap status ($333M market cap) creates position risk and limits institutional interest, while flat 3-year revenue growth (0.2% CAGR) suggests the underlying business is not organically growing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BayCom's core business of relationship-based SMB lending and commercial real estate origination has meaningful defensive moats against AI disruption — the complex underwriting of small business loans requires local market knowledge, personal relationships, and judgment that AI-powered lending platforms cannot easily replicate [3]. Regulatory requirements for bank capital, compliance, and KYC/AML processes create structural barriers to pure-digital competitors. Physical branch presence in California, Nevada, Colorado, Washington, and New Mexico provides relationship touchpoints. However, automated lending platforms (Upstart, SoFi) and neobanks are competing for simpler loan products and deposit gathering, putting pressure on community banks' traditional advantages in standard consumer and small-dollar commercial lending. AI Opportunity (0/1): No AI-related revenue streams; the bank has not announced any AI-powered products or services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BayCom Corp Q1 2026 Earnings Release — Net Income $8.2M, EPS $0.75, Up 19.3% QoQ and 43.9% YoY, SEC 8-K Filing, April 2026</w:t>
      </w:r>
    </w:p>
    <w:p>
      <w:pPr>
        <w:spacing w:before="20" w:after="20"/>
        <w:ind w:left="170"/>
      </w:pPr>
      <w:r>
        <w:rPr>
          <w:rFonts w:ascii="Calibri" w:hAnsi="Calibri"/>
          <w:b/>
          <w:color w:val="4A6B25"/>
          <w:sz w:val="15"/>
        </w:rPr>
        <w:t xml:space="preserve">2. </w:t>
      </w:r>
      <w:r>
        <w:rPr>
          <w:rFonts w:ascii="Calibri" w:hAnsi="Calibri"/>
          <w:b w:val="0"/>
          <w:color w:val="3A4A28"/>
          <w:sz w:val="17"/>
        </w:rPr>
        <w:t>BayCom Corp Executive Leadership Transition — New CEO, COO, CFO Appointed, Western Region Growth Strategy Announced, BusinessWire and Barchart, April 2026</w:t>
      </w:r>
    </w:p>
    <w:p>
      <w:pPr>
        <w:spacing w:before="20" w:after="20"/>
        <w:ind w:left="170"/>
      </w:pPr>
      <w:r>
        <w:rPr>
          <w:rFonts w:ascii="Calibri" w:hAnsi="Calibri"/>
          <w:b/>
          <w:color w:val="4A6B25"/>
          <w:sz w:val="15"/>
        </w:rPr>
        <w:t xml:space="preserve">3. </w:t>
      </w:r>
      <w:r>
        <w:rPr>
          <w:rFonts w:ascii="Calibri" w:hAnsi="Calibri"/>
          <w:b w:val="0"/>
          <w:color w:val="3A4A28"/>
          <w:sz w:val="17"/>
        </w:rPr>
        <w:t>BayCom Corp FY2025 10-K Annual Report — Risk Factors, ESG Practices, Business Description, SEC Filing,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BCML Key Statistics, Financial Data, and Market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