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BCRX</w:t>
      </w:r>
      <w:r>
        <w:rPr>
          <w:rFonts w:ascii="Calibri" w:hAnsi="Calibri"/>
          <w:b/>
          <w:color w:val="1A2010"/>
          <w:sz w:val="40"/>
        </w:rPr>
        <w:t xml:space="preserve">  BioCryst Pharmaceuticals, Inc.</w:t>
      </w:r>
    </w:p>
    <w:p>
      <w:pPr>
        <w:spacing w:after="120"/>
      </w:pPr>
      <w:r>
        <w:rPr>
          <w:rFonts w:ascii="Calibri" w:hAnsi="Calibri"/>
          <w:b/>
          <w:color w:val="6E8450"/>
          <w:sz w:val="18"/>
        </w:rPr>
        <w:t>GROWTH SLEEVE · 2026-10-17 · Inspire: 37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NASDAQ · United States</w:t>
      </w:r>
    </w:p>
    <w:p>
      <w:pPr>
        <w:spacing w:after="80"/>
      </w:pPr>
      <w:r>
        <w:rPr>
          <w:rFonts w:ascii="Calibri" w:hAnsi="Calibri"/>
          <w:b w:val="0"/>
          <w:color w:val="3A4A28"/>
          <w:sz w:val="20"/>
        </w:rPr>
        <w:t>BioCryst Pharmaceuticals is a biotechnology company focused on rare diseases, principally hereditary angioedema (HAE). Lead product ORLADEYO (berotralstat) is the first and only oral once-daily prophylactic treatment for HAE, generating $158.2M in Q2 2026 revenue. The company acquired Astria Therapeutics to add navenibart subcutaneous HAE treatment and closed its Birmingham R&amp;D facility in June 2026 to pivot to external innovation. CEO Charlie Gayer succeeded founding CEO Jon Stonehouse in January 2026. FY2026 total revenue guidance raised to $690-715M with ORLADEYO guidance of $625-645M.</w:t>
      </w:r>
    </w:p>
    <w:p>
      <w:r>
        <w:rPr>
          <w:rFonts w:ascii="Calibri" w:hAnsi="Calibri"/>
          <w:b/>
          <w:color w:val="6E8450"/>
          <w:sz w:val="18"/>
        </w:rPr>
        <w:t>435 Employees · https://www.biocryst.com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BioCryst successfully launched ORLADEYO as the first oral once-daily HAE prophylactic and completed the transformative Astria Therapeutics acquisition to add navenibart, creating a comprehensive HAE franchise with ORLADEYO generating $158.2M in Q2 2026 revenue [1]. The company transitioned from pre-revenue biotech to profitability, with Q2 2026 net profit of ~$78M and $113.2M non-GAAP operating profit [1]. AI Deployment (0/2): No evidence of AI-powered products or specific AI-driven cost savings; BioCryst remains a traditional rare disease pharma company, though a Chief Data and Insights role was created to build analytics infrastructure [2]. Market Share (2/2): ORLADEYO is the dominant oral prophylactic treatment for HAE globally, with FY2026 guidance of $625-645M in ORLADEYO revenue, and management noted new injectable competitors primarily impact existing injectables like TAKHZYRO while ORLADEYO patient retention remains stable [1]. Product Pipeline (1/2): FDA approved ORLADEYO oral pellets for pediatric HAE (ages 2-12) with strong initial uptake (47 prescriptions by July 2026), navenibart from Astria provides next-gen subcutaneous HAE option with European licensing to Sobi for $70M upfront + $275M milestones, and new CSO David Jenkins leads external innovation [2][3]. R&amp;D Intensity (0/1): BioCryst closed its Birmingham R&amp;D facility in June 2026 and ended internal drug discovery, shifting to an asset-light external innovation model — R&amp;D intensity is declining by design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BioCryst's purpose is to develop medicines for rare disease patients with limited treatment options — clear, specific, and meaningful, connecting to improving lives of an underserved patient population with conditions like HAE [3]. CEO Gayer frames decisions through the lens of 'bringing more drugs to rare disease patients,' but the mission, while genuine, is standard for the rare disease biotech sector. Community Impact (1/2): BioCryst operates patient assistance programs for ORLADEYO and engages with the HAE patient community through advocacy and disease awareness — meaningful but standard pharmaceutical community engagement [3]. Employee Retention (1/2): CEO Charlie Gayer was promoted internally after 10 years at BioCryst, and founding CEO Jon Stonehouse praised the company's 'special culture that has a direct impact on company performance' during the succession announcement [2]. A Center for Creative Leadership case study quotes employees saying 'the tone is clear that people come first' [2]. However, the R&amp;D facility closure means job losses for research staff. Insider Buying (0/2): No evidence of meaningful net insider buying with specific dollar amounts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D/E and ROE excluded (negative stockholders' equity from accumulated historical losses) [4]. Revenue growth metrics are exceptional: YoY growth of 33.6% and estimated 5-year CAGR of ~30% both score 1.0 as ORLADEYO scaled from ~$175M (FY2021) to $625-645M guided for FY2026, with both carrying elevated weights [1]. Forward P/E of 8.29 on $0.94 consensus forward EPS scores 1.0, reflecting significant compression from $10.05 to $7.79 since August 2026 [4]. The score is dragged by two zero-scoring metrics: TTM profit margin reported at -40.9% by yfinance (though Q2 2026 showed $78M net profit and 45.1% operating margins, the TTM includes Astria acquisition charges) and Forward PEG of 9.39 (2x weight), which is misleading for a company transitioning from losses to profitability [1][4]. Daily dollar volume of ~$32M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BioCryst demonstrates mixed infinite-game signals under CEO Charlie Gayer. The company's 40-year history and focus on serving rare disease patients with limited treatment options reflects genuine long-term vision, and the orderly CEO succession after Gayer's decade-long tenure signals organizational stability. However, the decision to close internal R&amp;D and pivot entirely to external innovation raises questions about whether the company is building to endure or optimizing for near-term profitability, and heavy single-franchise dependence on ORLADEYO creates finite-game vulnerability.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BioCryst's purpose of developing treatments for rare disease patients with limited options is genuine, has shaped 40 years of organizational decisions, and connects to meaningful human health improvement [3]. ORLADEYO as the first oral daily HAE prophylactic validated a real medical need for an underserved patient population. CEO Gayer explicitly frames decisions through the lens of 'bringing more drugs to rare disease patients.' However, the cause is narrowly defined around HAE and has not been tested through the kind of existential crisis that validates a Just Cause at the highest level.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internal promotion of Charlie Gayer to CEO after 10 years, with founding CEO Stonehouse praising BioCryst's 'special culture,' suggests a trusting organizational environment [2]. A Center for Creative Leadership partnership established in 2021 demonstrates investment in leadership development with employees stating 'the tone is clear that people come first' [2]. However, the Birmingham R&amp;D facility closure (June 2026) means significant job losses for research staff, and management tenure data beyond the C-suite is limited.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CEO Gayer stated the company is 'not afraid of competition,' noting that new injectable HAE competitors primarily impact existing injectables like TAKHZYRO rather than ORLADEYO [1]. This competitive framing focuses on defending market position rather than learning from rivals' strengths. The Astria acquisition was partly defensive — acquiring a potential competitive threat. No evidence of management referencing competitors' strengths as self-improvement motivation.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BioCryst has evolved meaningfully from an early-stage anti-infective drug discovery platform into a focused commercial rare disease company over decades [3]. The June 2026 decision to close Birmingham R&amp;D and shift entirely to external innovation represents a significant strategic pivot — abandoning internal discovery capability in favor of an asset-light model. The Astria acquisition and European business divestiture further demonstrate portfolio reshaping. However, the core business (HAE therapeutics) remains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Gayer's decision to close BioCryst's Birmingham R&amp;D facility and end decades of internal drug discovery required strategic conviction, acknowledging 'the industry is moving a lot faster right now' and redirecting resources to external innovation [3]. The company invested through years of losses to build ORLADEYO into a $600M+ franchise, and the orderly CEO succession demonstrated long-term organizational planning. However, the R&amp;D closure also conveniently reduces costs and improves margins, making it difficult to distinguish courage from financial pragmatism.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BioCryst at $7.79 with a $2.0B market cap has transformed from a pre-revenue biotech into a rare disease franchise generating $690-715M in raised FY2026 total revenue guidance, with ORLADEYO's Q2 2026 revenue of $158.2M and non-GAAP operating profit accelerating to $113.2M (+86% YoY) [1]. The forward P/E of 8.3x on $0.94 consensus forward EPS provides a compelling entry point for a rare disease franchise with 33.6% quarterly revenue growth, ~30% 5-year CAGR, and 77% gross margins. The pediatric ORLADEYO pellet launch (ages 2-12) expands the addressable HAE population, navenibart from the Astria acquisition adds a second franchise product, and the European licensing deal with Sobi ($70M upfront + $275M milestones) monetizes international rights [1][2]. The Inspire Impact Score of 37 (ALIGNED) supports faith-based allocation.</w:t>
      </w:r>
    </w:p>
    <w:p>
      <w:pPr>
        <w:spacing w:after="120"/>
      </w:pPr>
      <w:r>
        <w:rPr>
          <w:rFonts w:ascii="Calibri" w:hAnsi="Calibri"/>
          <w:b w:val="0"/>
          <w:color w:val="3A4A28"/>
          <w:sz w:val="20"/>
        </w:rPr>
        <w:t>The primary risk is single-franchise concentration — ORLADEYO represents essentially all commercial revenue, creating vulnerability to competitive entry, patent challenges, or safety events [1]. The closure of internal R&amp;D and shift to external innovation reduces pipeline visibility and makes BioCryst dependent on licensing and M&amp;A for future growth beyond HAE. GAAP profitability metrics remain distorted by Astria acquisition charges, with yfinance reporting -40.9% TTM net margin despite Q2 2026 showing $78M net profit and 45.1% operating margins [4]. The stock's 23% decline from $10.05 to $7.79 since August 2026 may reflect market concerns about growth deceleration or integration risk. Total debt of ~$837M against negative equity represents significant leverage, and the PEG ratio of 9.39 (misleading for a recently profitable company) suggests the market prices long-term growth conservatively. If ORLADEYO growth decelerates from the current ~10-20% comparable trajectory, the equity could face further compression.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FY2026 total revenue guidance to $690-715M with non-GAAP operating profit accelerating to $113.2M in Q2 2026, demonstrating expanding profitability and operating leverage at forward P/E of just 8.3x [1]</w:t>
      </w:r>
    </w:p>
    <w:p>
      <w:pPr>
        <w:spacing w:before="40" w:after="40"/>
        <w:ind w:left="283"/>
      </w:pPr>
      <w:r>
        <w:rPr>
          <w:rFonts w:ascii="Calibri" w:hAnsi="Calibri"/>
          <w:b/>
          <w:color w:val="4A6B25"/>
          <w:sz w:val="20"/>
        </w:rPr>
        <w:t xml:space="preserve">2. </w:t>
      </w:r>
      <w:r>
        <w:rPr>
          <w:rFonts w:ascii="Calibri" w:hAnsi="Calibri"/>
          <w:b w:val="0"/>
          <w:color w:val="3A4A28"/>
          <w:sz w:val="20"/>
        </w:rPr>
        <w:t>ORLADEYO pediatric oral pellets FDA approval expanding the addressable HAE population with strong early uptake (47 prescriptions by July 2026), plus navenibart advancing as a second commercial HAE product through European licensing to Sobi [1][2]</w:t>
      </w:r>
    </w:p>
    <w:p>
      <w:pPr>
        <w:spacing w:before="40" w:after="40"/>
        <w:ind w:left="283"/>
      </w:pPr>
      <w:r>
        <w:rPr>
          <w:rFonts w:ascii="Calibri" w:hAnsi="Calibri"/>
          <w:b/>
          <w:color w:val="4A6B25"/>
          <w:sz w:val="20"/>
        </w:rPr>
        <w:t xml:space="preserve">3. </w:t>
      </w:r>
      <w:r>
        <w:rPr>
          <w:rFonts w:ascii="Calibri" w:hAnsi="Calibri"/>
          <w:b w:val="0"/>
          <w:color w:val="3A4A28"/>
          <w:sz w:val="20"/>
        </w:rPr>
        <w:t>New CSO David Jenkins building external innovation pipeline in rare disease through licensing and partnerships, with potential to diversify beyond HAE and reduce single-franchise risk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Single-product concentration with ORLADEYO representing ~100% of commercial revenue, creating binary risk from competitive entry (new injectable HAE therapies), patent challenges, or safety signals [1]</w:t>
      </w:r>
    </w:p>
    <w:p>
      <w:pPr>
        <w:spacing w:before="40" w:after="40"/>
        <w:ind w:left="283"/>
      </w:pPr>
      <w:r>
        <w:rPr>
          <w:rFonts w:ascii="Calibri" w:hAnsi="Calibri"/>
          <w:b/>
          <w:color w:val="4A6B25"/>
          <w:sz w:val="20"/>
        </w:rPr>
        <w:t xml:space="preserve">2. </w:t>
      </w:r>
      <w:r>
        <w:rPr>
          <w:rFonts w:ascii="Calibri" w:hAnsi="Calibri"/>
          <w:b w:val="0"/>
          <w:color w:val="3A4A28"/>
          <w:sz w:val="20"/>
        </w:rPr>
        <w:t>Closure of internal R&amp;D facility and shift to external innovation eliminates proprietary drug discovery capability, making pipeline expansion dependent on licensing and M&amp;A in a competitive rare disease deal market [3]</w:t>
      </w:r>
    </w:p>
    <w:p>
      <w:pPr>
        <w:spacing w:before="40" w:after="40"/>
        <w:ind w:left="283"/>
      </w:pPr>
      <w:r>
        <w:rPr>
          <w:rFonts w:ascii="Calibri" w:hAnsi="Calibri"/>
          <w:b/>
          <w:color w:val="4A6B25"/>
          <w:sz w:val="20"/>
        </w:rPr>
        <w:t xml:space="preserve">3. </w:t>
      </w:r>
      <w:r>
        <w:rPr>
          <w:rFonts w:ascii="Calibri" w:hAnsi="Calibri"/>
          <w:b w:val="0"/>
          <w:color w:val="3A4A28"/>
          <w:sz w:val="20"/>
        </w:rPr>
        <w:t>Significant leverage with ~$837M total debt against negative equity and ~$353M cash — if operating cash flows disappoint, debt service and pipeline investment could require dilutive financing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BioCryst's core business — manufacturing and commercializing oral and biologic drugs for a rare genetic disease (HAE) — is structurally immune to AI disruption [3]. Drug manufacturing is a physical/chemical process requiring FDA-regulated facilities, and clinical development involves human subjects, institutional review boards, and multi-year regulatory oversight that AI cannot substitute. The HAE patient population requires ongoing medical management and therapeutic relationships. AI may enhance drug discovery efficiency for competitors, but BioCryst's commercial franchise, patent portfolio, and FDA-approved status provide durable protection. Analysts have not flagged AI as a risk to the rare disease pharma model. AI Opportunity (0/1): No evidence of quantifiable AI-derived revenue; BioCryst's external innovation model relies on traditional licensing and partnerships rather than AI-driven drug discovery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BioCryst Q2 2026 Earnings — ORLADEYO revenue $158.2M, total revenue $218.3M (+33.6% YoY), non-GAAP OP $113.2M, adj. EPS $0.30 (beat $0.15), raised total revenue guidance to $690-715M, August 2026</w:t>
      </w:r>
    </w:p>
    <w:p>
      <w:pPr>
        <w:spacing w:before="20" w:after="20"/>
        <w:ind w:left="170"/>
      </w:pPr>
      <w:r>
        <w:rPr>
          <w:rFonts w:ascii="Calibri" w:hAnsi="Calibri"/>
          <w:b/>
          <w:color w:val="4A6B25"/>
          <w:sz w:val="15"/>
        </w:rPr>
        <w:t xml:space="preserve">2. </w:t>
      </w:r>
      <w:r>
        <w:rPr>
          <w:rFonts w:ascii="Calibri" w:hAnsi="Calibri"/>
          <w:b w:val="0"/>
          <w:color w:val="3A4A28"/>
          <w:sz w:val="17"/>
        </w:rPr>
        <w:t>BioCryst Leadership and Culture — CEO Charlie Gayer (Jan 2026) succeeded Jon Stonehouse after 10-year tenure, CSO David Jenkins (July 2026), Chief Data &amp; Insights role, Center for Creative Leadership partnership</w:t>
      </w:r>
    </w:p>
    <w:p>
      <w:pPr>
        <w:spacing w:before="20" w:after="20"/>
        <w:ind w:left="170"/>
      </w:pPr>
      <w:r>
        <w:rPr>
          <w:rFonts w:ascii="Calibri" w:hAnsi="Calibri"/>
          <w:b/>
          <w:color w:val="4A6B25"/>
          <w:sz w:val="15"/>
        </w:rPr>
        <w:t xml:space="preserve">3. </w:t>
      </w:r>
      <w:r>
        <w:rPr>
          <w:rFonts w:ascii="Calibri" w:hAnsi="Calibri"/>
          <w:b w:val="0"/>
          <w:color w:val="3A4A28"/>
          <w:sz w:val="17"/>
        </w:rPr>
        <w:t>BioCryst Strategy — Birmingham R&amp;D facility closure (June 2026), external innovation pivot, Astria Therapeutics acquisition, navenibart European licensing to Sobi ($70M + $275M milestones)</w:t>
      </w:r>
    </w:p>
    <w:p>
      <w:pPr>
        <w:spacing w:before="20" w:after="20"/>
        <w:ind w:left="170"/>
      </w:pPr>
      <w:r>
        <w:rPr>
          <w:rFonts w:ascii="Calibri" w:hAnsi="Calibri"/>
          <w:b/>
          <w:color w:val="4A6B25"/>
          <w:sz w:val="15"/>
        </w:rPr>
        <w:t xml:space="preserve">4. </w:t>
      </w:r>
      <w:r>
        <w:rPr>
          <w:rFonts w:ascii="Calibri" w:hAnsi="Calibri"/>
          <w:b w:val="0"/>
          <w:color w:val="3A4A28"/>
          <w:sz w:val="17"/>
        </w:rPr>
        <w:t>Yahoo Finance — BCRX Key Statistics: Price $7.79, Forward P/E 8.29, PEG 9.39, Forward EPS $0.94, TTM Profit Margin -40.9%, Total Debt $837M, Cash $353M, Avg Volume 4.1M,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