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BCS</w:t>
      </w:r>
      <w:r>
        <w:rPr>
          <w:rFonts w:ascii="Calibri" w:hAnsi="Calibri"/>
          <w:b/>
          <w:color w:val="1A2010"/>
          <w:sz w:val="40"/>
        </w:rPr>
        <w:t xml:space="preserve">  Barclays PLC</w:t>
      </w:r>
    </w:p>
    <w:p>
      <w:pPr>
        <w:spacing w:after="120"/>
      </w:pPr>
      <w:r>
        <w:rPr>
          <w:rFonts w:ascii="Calibri" w:hAnsi="Calibri"/>
          <w:b/>
          <w:color w:val="6E8450"/>
          <w:sz w:val="18"/>
        </w:rPr>
        <w:t>DIVIDEND SLEEVE · 2026-10-14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Diversified · NYSE · United Kingdom</w:t>
      </w:r>
    </w:p>
    <w:p>
      <w:pPr>
        <w:spacing w:after="80"/>
      </w:pPr>
      <w:r>
        <w:rPr>
          <w:rFonts w:ascii="Calibri" w:hAnsi="Calibri"/>
          <w:b w:val="0"/>
          <w:color w:val="3A4A28"/>
          <w:sz w:val="20"/>
        </w:rPr>
        <w:t>Barclays PLC is a 333-year-old British universal bank operating across five segments: Barclays UK, UK Corporate Bank, Private Bank &amp; Wealth Management, Investment Bank, and US Consumer Bank. The company provides retail banking, investment banking, wealth management, and credit card services globally. CEO C.S. Venkatakrishnan leads the bank, which reported Q2 2026 profit of GBP 3.25B (+31% YoY), raised full-year 2026 income guidance to GBP 31.5B, and is returning GBP 15B+ to shareholders through 2028. The Investment Bank accounts for 48% of group revenue with income of GBP 3.96B in Q2 alone. ADR listed on NYSE with market cap of approximately $85B.</w:t>
      </w:r>
    </w:p>
    <w:p>
      <w:r>
        <w:rPr>
          <w:rFonts w:ascii="Calibri" w:hAnsi="Calibri"/>
          <w:b/>
          <w:color w:val="6E8450"/>
          <w:sz w:val="18"/>
        </w:rPr>
        <w:t>93,000 Employees · https://home.barclays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Barclays delivered strong Q2 2026 results with income of GBP 8.34B (+16% YoY) and profit before tax of GBP 3.25B (+31%), driven by the Investment Bank hitting a GBP 4B income milestone with 16% ROTE [1]. The Tesco Bank acquisition strengthened UK retail, and restructuring into five operating divisions improved focus. However, these are incremental improvements to the traditional universal banking model — no product innovation or market pivot in the last 5 years. AI Deployment (1/2): Barclays deployed Microsoft 365 Copilot across its global workforce, launched BarxBot for FX trading, uses GenAI to reduce call handling times, developed 250+ AI-enabled tools, and promoted Antoinette O'Neill to group CIO overseeing AI strategy [3]. CEO Venkatakrishnan describes AI as 'a core part of running the business.' However, no specific cost savings or AI revenue have been quantified publicly. Market Share (1/2): Barclays is a top-5 UK retail bank and a meaningful global investment bank, but does not dominate any single category — JPMorgan, Goldman Sachs, and HSBC hold stronger positions in their respective markets [1]. Product Pipeline (0/2): No specific next-generation banking products with launch dates are publicly disclosed. The 2026-2028 strategic plan focuses on financial targets (&gt;14% ROTE by 2028, &gt;GBP 15B shareholder returns) rather than product innovation [1]. R&amp;D Intensity (0/1): Technology spending is in line with but not above global banking peers; JPMorgan's $17B+ annual technology budget significantly exceeds Barclays'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Barclays' purpose is 'Creating opportunities to rise' — described as being 'a company of opportunity makers working together to help people rise — customers, clients, colleagues and society' [4]. The five values (Respect, Integrity, Service, Excellence, Stewardship) provide a framework. This connects banking to social mobility but remains broadly interchangeable with other major bank missions and does not articulate a distinctive vision of a better future. Community Impact (1/2): Barclays is a founding funder of the Just Transition Finance Lab at LSE, a signatory to the Equator Principles since 2003, and maintained ESG commitments including its Net Zero ambition while American banking peers retreated [5]. The BlueTrack methodology for financed emissions demonstrates institutional commitment. However, specific charitable program dollar amounts were not identified. Employee Retention (1/2): Glassdoor shows 78% of employees recommend Barclays with 3.9/5 ratings for work-life balance, above average for large global banks [3]. CEO Venkatakrishnan's emphasis on integrity as the paramount leadership quality sets a constructive tone. Some reviews cite political promotion practices, but overall sentiment is positive for a 93,000-person organization. Insider Buying (1/2): Chairman Nigel Higgins purchased shares following strong Q2 results, and additional insider acquisitions were reported in mid-2026 [4]. These are modest transactions relative to market cap but represent net insider buying by board members.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excluding D/E (not applicable for banks — Barclays maintains a CET1 ratio of 14.3%, well above regulatory minimums [1]). Barclays' forward P/E of 7.11x scores 1.0, reflecting the deep discount at which UK banks trade versus U.S. peers despite delivering strong returns [4]. Profit margin of 27.87% scores 1.0, demonstrating efficient earnings conversion [1]. Revenue growth YoY of 15.6% scores 1.0, driven by Q2 investment bank income growth of 20% and raised full-year guidance to GBP 31.5B [1]. The 5-year revenue CAGR of ~8% scores 0.87. ROE of 10.09% scores 0.67, below the 15% target but trending toward management's &gt;14% ROTE target by 2028 [1]. Payout ratio of 17.91% scores 1.0, reflecting conservative distribution with room for growth. Consecutive years of dividend payments (5, interrupted by regulatory-mandated COVID suspension) scores 0.5 at 2x weight. Consecutive years of dividend growth (4) scores 0.4. 5-year dividend growth CAGR is excluded (null — interrupted by COVID). Dividend yield of 2.67% qualifies for Dividend sleeve. Liquidity is robust at approximately $104M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Barclays has survived 333 years, which itself demonstrates institutional endurance, but the modern institution operates with a primarily finite mindset — optimizing for RoTE targets, capital return programs, cost-to-income ratios, and quarterly performance metrics. CEO Venkatakrishnan's integrity-first leadership and maintained ESG commitment show some long-term thinking, but strategic communication overwhelmingly emphasizes financial metrics rather than a vision of a better future. The GBP 15B+ shareholder return program through 2028 is admirable capital discipline but finite-game framing.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Barclays' purpose of 'Creating opportunities to rise' connects banking to social mobility and describes a better future beyond just financial returns [4]. The 333-year heritage provides institutional weight. However, strategic communication is dominated by RoTE targets, cost-to-income ratios, and shareholder return programs — finite language that reveals the operating mindset [1]. Sinek would note that longevity does not equal a Just Cause — Barclays has endured but not because of an articulated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shows 78% of employees recommend Barclays with 3.9/5 culture ratings, above average for large global banks [3]. CEO Venkatakrishnan's emphasis that 'values are not abstract; they are the foundation of trust' sets a constructive tone. Stable executive team and deliberate succession planning signal organizational maturity. However, a 93,000-person organization inevitably has inconsistent culture, and some reviews cite political promotion practices and internal friction.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Barclays' competitive narrative centers on closing the profitability gap with JPMorgan in investment banking and defending UK market share against digital challengers — finite competitive framing focused on benchmarking metrics rather than learning [1]. Management discusses RoTE relative to peers and income targets rather than acknowledging what Barclays can learn from JPMorgan's technology investment or Revolut's customer acquisition model.</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Over 333 years, Barclays adapted from a goldsmith's shop to a global universal bank — remarkable institutional evolution navigating the South Sea Bubble, two world wars, the 2008 financial crisis (declining UK government bailout), and COVID [4]. The restructuring from three to five operating divisions, the Tesco Bank acquisition, and the pivot from the Jes Staley-era investment banking focus demonstrate incremental strategic adaptation. However, no single transformative pivot defines the modern era.</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Barclays maintained and expanded ESG commitments (Net Zero ambition, BlueTrack methodology, Just Transition Finance Lab) while American banking peers retreated from sustainability pledges — a courageous stance that cost real business, including being banned from the Texas municipal bond market [5][6]. CEO Venkatakrishnan's emphasis on integrity and the decision to pursue a balanced five-division model rather than over-concentrating in investment banking show thoughtful long-term positioning. However, these are sound management decisions rather than costly long-term bets that sacrifice short-term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Barclays trades at 7.11x forward earnings with a PEG of 0.89 — a deep discount to U.S. bank peers — while delivering accelerating fundamentals: Q2 2026 profit rose 31% to GBP 3.25B, the Investment Bank hit a GBP 4B quarterly income milestone with 16% ROTE, and management raised 2026 income guidance to GBP 31.5B [1]. EPS of $2.59 trailing and $3.24 forward implies 25% earnings growth, and the dividend yield of 2.67% with a 17.9% payout ratio provides substantial room for dividend increases [4]. Capital return is substantial: GBP 15B+ planned through 2028 including nearly doubled dividends and GBP 1B+ buybacks, representing approximately 6% total yield at current prices. The cost-to-income ratio improved from 59% to 54%, demonstrating operating leverage, and the CET1 ratio of 14.3% provides a strong capital cushion [1]. All five operating divisions are contributing, with the US Consumer Bank surging 38% in Q2.</w:t>
      </w:r>
    </w:p>
    <w:p>
      <w:pPr>
        <w:spacing w:after="120"/>
      </w:pPr>
      <w:r>
        <w:rPr>
          <w:rFonts w:ascii="Calibri" w:hAnsi="Calibri"/>
          <w:b w:val="0"/>
          <w:color w:val="3A4A28"/>
          <w:sz w:val="20"/>
        </w:rPr>
        <w:t>The bear case centers on the structural UK banking discount, regulatory risk, and competitive pressures. UK banks may remain trapped at single-digit P/E multiples regardless of operational improvement — Barclays' valuation has compressed from 8.55x to 7.11x forward earnings even as fundamentals accelerated, suggesting the market views the discount as structural rather than cyclical [4]. Credit quality bears watching as UK consumer stress could accelerate impairment charges. The Bank of England rate trajectory creates NII uncertainty — faster-than-expected rate cuts could compress the GBP 13.7B NII guidance. Texas banned Barclays from its municipal bond market over ESG commitments, illustrating the political risks of maintaining sustainability pledges [6]. AI-native fintech competitors (Revolut at $45B+ valuation, Monzo) threaten the consumer banking franchise with superior digital experiences and lower cost structures. The Inspire Impact Score of -49 (MISALIGNED) due to LGBT Activism attribution limits allocation for faith-based investors, and fossil fuel lending has drawn climate activist pressure despite the Net Zero commitment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GBP 15B+ shareholder return program through 2028, with GBP 1B+ buyback execution and dividend nearly doubled, providing approximately 6% total yield at 7.11x forward earnings — among the most attractive return profiles in global banking [1]</w:t>
      </w:r>
    </w:p>
    <w:p>
      <w:pPr>
        <w:spacing w:before="40" w:after="40"/>
        <w:ind w:left="283"/>
      </w:pPr>
      <w:r>
        <w:rPr>
          <w:rFonts w:ascii="Calibri" w:hAnsi="Calibri"/>
          <w:b/>
          <w:color w:val="4A6B25"/>
          <w:sz w:val="20"/>
        </w:rPr>
        <w:t xml:space="preserve">2. </w:t>
      </w:r>
      <w:r>
        <w:rPr>
          <w:rFonts w:ascii="Calibri" w:hAnsi="Calibri"/>
          <w:b w:val="0"/>
          <w:color w:val="3A4A28"/>
          <w:sz w:val="20"/>
        </w:rPr>
        <w:t>Investment bank momentum — GBP 4B quarterly income milestone with 16% ROTE and 20% YoY growth, positioned to benefit from continued market volatility, European capital markets activity, and strategic client share gains [1]</w:t>
      </w:r>
    </w:p>
    <w:p>
      <w:pPr>
        <w:spacing w:before="40" w:after="40"/>
        <w:ind w:left="283"/>
      </w:pPr>
      <w:r>
        <w:rPr>
          <w:rFonts w:ascii="Calibri" w:hAnsi="Calibri"/>
          <w:b/>
          <w:color w:val="4A6B25"/>
          <w:sz w:val="20"/>
        </w:rPr>
        <w:t xml:space="preserve">3. </w:t>
      </w:r>
      <w:r>
        <w:rPr>
          <w:rFonts w:ascii="Calibri" w:hAnsi="Calibri"/>
          <w:b w:val="0"/>
          <w:color w:val="3A4A28"/>
          <w:sz w:val="20"/>
        </w:rPr>
        <w:t>Cost-to-income ratio improvement trajectory from 59% to 54%, targeting low-50s by 2028 — each percentage point represents approximately GBP 315M in pre-tax profit at the GBP 31.5B income level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UK banking valuation discount — Barclays may remain at single-digit forward P/E regardless of operational execution, with the stock having declined from $26.83 to $23.06 even as earnings grew 31%, limiting re-rating potential [4]</w:t>
      </w:r>
    </w:p>
    <w:p>
      <w:pPr>
        <w:spacing w:before="40" w:after="40"/>
        <w:ind w:left="283"/>
      </w:pPr>
      <w:r>
        <w:rPr>
          <w:rFonts w:ascii="Calibri" w:hAnsi="Calibri"/>
          <w:b/>
          <w:color w:val="4A6B25"/>
          <w:sz w:val="20"/>
        </w:rPr>
        <w:t xml:space="preserve">2. </w:t>
      </w:r>
      <w:r>
        <w:rPr>
          <w:rFonts w:ascii="Calibri" w:hAnsi="Calibri"/>
          <w:b w:val="0"/>
          <w:color w:val="3A4A28"/>
          <w:sz w:val="20"/>
        </w:rPr>
        <w:t>NII sensitivity to Bank of England rate decisions — faster-than-expected rate cuts could compress the GBP 13.7B NII guidance, and the structural hedge roll benefit has a finite duration before becoming a headwind [1]</w:t>
      </w:r>
    </w:p>
    <w:p>
      <w:pPr>
        <w:spacing w:before="40" w:after="40"/>
        <w:ind w:left="283"/>
      </w:pPr>
      <w:r>
        <w:rPr>
          <w:rFonts w:ascii="Calibri" w:hAnsi="Calibri"/>
          <w:b/>
          <w:color w:val="4A6B25"/>
          <w:sz w:val="20"/>
        </w:rPr>
        <w:t xml:space="preserve">3. </w:t>
      </w:r>
      <w:r>
        <w:rPr>
          <w:rFonts w:ascii="Calibri" w:hAnsi="Calibri"/>
          <w:b w:val="0"/>
          <w:color w:val="3A4A28"/>
          <w:sz w:val="20"/>
        </w:rPr>
        <w:t>Political-regulatory crossfire from ESG positioning — Texas municipal bond ban demonstrates that maintaining sustainability commitments creates real business costs, while climate activists still pressure Barclays over fossil fuel lending [5][6]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Barclays' core banking operations are protected by heavy regulation (PRA, FCA, Federal Reserve), Basel capital requirements, and relationship-based business models that AI cannot replicate [1]. Investment banking intermediation, M&amp;A advisory, and capital markets require human judgment, regulatory compliance, and trust-based client relationships. The CET1 ratio of 14.3% and GBP 31.5B income base represent structural moats. However, consumer banking (credit cards, payments, personal lending) faces real fintech disruption from AI-native competitors like Revolut and Monzo, and the investment bank's trading functions face algorithmic competition [3]. The Texas ban from the municipal bond market over ESG commitments illustrates regulatory-political risk that AI cannot address [6]. AI Opportunity (1/1): Barclays is deploying AI operationally across 93,000+ employees — Microsoft Copilot, BarxBot for FX, GenAI for call handling, 250+ AI tools, and Antoinette O'Neill appointed group CIO overseeing AI strategy [3]. CEO Venkatakrishnan aims for GBP 2B in efficiency savings by 2026, with AI as a key enabler. Operational AI deployment across the global workforce represents meaningful cost reduction contributing to the improved 54% cost-to-income ratio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Barclays Q2 2026 / Half Year 2026 Results — GBP 8.34B Income (+16%), GBP 3.25B PBT (+31%), 16.1% RoTE, Investment Bank GBP 3.96B (+20%), Guidance Raised to GBP 31.5B — Pulse2, ii.co.uk, July 2026</w:t>
      </w:r>
    </w:p>
    <w:p>
      <w:pPr>
        <w:spacing w:before="20" w:after="20"/>
        <w:ind w:left="170"/>
      </w:pPr>
      <w:r>
        <w:rPr>
          <w:rFonts w:ascii="Calibri" w:hAnsi="Calibri"/>
          <w:b/>
          <w:color w:val="4A6B25"/>
          <w:sz w:val="15"/>
        </w:rPr>
        <w:t xml:space="preserve">2. </w:t>
      </w:r>
      <w:r>
        <w:rPr>
          <w:rFonts w:ascii="Calibri" w:hAnsi="Calibri"/>
          <w:b w:val="0"/>
          <w:color w:val="3A4A28"/>
          <w:sz w:val="17"/>
        </w:rPr>
        <w:t>Barclays FY2025 Annual Results — Full Year Income, EPS Growth, Capital Returns Program — February 2026</w:t>
      </w:r>
    </w:p>
    <w:p>
      <w:pPr>
        <w:spacing w:before="20" w:after="20"/>
        <w:ind w:left="170"/>
      </w:pPr>
      <w:r>
        <w:rPr>
          <w:rFonts w:ascii="Calibri" w:hAnsi="Calibri"/>
          <w:b/>
          <w:color w:val="4A6B25"/>
          <w:sz w:val="15"/>
        </w:rPr>
        <w:t xml:space="preserve">3. </w:t>
      </w:r>
      <w:r>
        <w:rPr>
          <w:rFonts w:ascii="Calibri" w:hAnsi="Calibri"/>
          <w:b w:val="0"/>
          <w:color w:val="3A4A28"/>
          <w:sz w:val="17"/>
        </w:rPr>
        <w:t>Barclays AI Strategy — Microsoft Copilot Deployment, BarxBot FX, 250+ AI Tools, Antoinette O'Neill CIO Appointment, GBP 2B Efficiency Target — Bloomberg, American Banker, AI News,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BCS Key Statistics: Forward P/E 7.11x, PEG 0.89, ROE 10.09%, Dividend Yield 2.67%, Chairman Insider Buying —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Barclays ESG and Sustainability — Net Zero Ambition, BlueTrack Methodology, Just Transition Finance Lab at LSE, FY2025 20-F ESG Disclosures — home.barclays, SEC EDGAR, 2025-2026</w:t>
      </w:r>
    </w:p>
    <w:p>
      <w:pPr>
        <w:spacing w:before="20" w:after="20"/>
        <w:ind w:left="170"/>
      </w:pPr>
      <w:r>
        <w:rPr>
          <w:rFonts w:ascii="Calibri" w:hAnsi="Calibri"/>
          <w:b/>
          <w:color w:val="4A6B25"/>
          <w:sz w:val="15"/>
        </w:rPr>
        <w:t xml:space="preserve">6. </w:t>
      </w:r>
      <w:r>
        <w:rPr>
          <w:rFonts w:ascii="Calibri" w:hAnsi="Calibri"/>
          <w:b w:val="0"/>
          <w:color w:val="3A4A28"/>
          <w:sz w:val="17"/>
        </w:rPr>
        <w:t>Texas Attorney General — Barclays Banned from Texas Municipal Bond Market Over ESG Commitments — BNN Bloomberg, GRIP, January 2024</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