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BEEM</w:t>
      </w:r>
      <w:r>
        <w:rPr>
          <w:rFonts w:ascii="Calibri" w:hAnsi="Calibri"/>
          <w:b/>
          <w:color w:val="1A2010"/>
          <w:sz w:val="40"/>
        </w:rPr>
        <w:t xml:space="preserve">  Beam Global</w:t>
      </w:r>
    </w:p>
    <w:p>
      <w:pPr>
        <w:spacing w:after="120"/>
      </w:pPr>
      <w:r>
        <w:rPr>
          <w:rFonts w:ascii="Calibri" w:hAnsi="Calibri"/>
          <w:b/>
          <w:color w:val="6E8450"/>
          <w:sz w:val="18"/>
        </w:rPr>
        <w:t>GROWTH SLEEVE · 2026-09-21 · Inspire: 71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NASDAQ · United States</w:t>
      </w:r>
    </w:p>
    <w:p>
      <w:pPr>
        <w:spacing w:after="80"/>
      </w:pPr>
      <w:r>
        <w:rPr>
          <w:rFonts w:ascii="Calibri" w:hAnsi="Calibri"/>
          <w:b w:val="0"/>
          <w:color w:val="3A4A28"/>
          <w:sz w:val="20"/>
        </w:rPr>
        <w:t>Beam Global designs, develops, manufactures, and sells renewably energized infrastructure products and battery solutions including EV ARC solar-powered autonomous EV charging stations, BeamBike solar e-bike chargers, AllCell energy storage systems, drone battery systems, and wildfire detection technologies. The company pivoted from 62% government revenue (2024) to 78% commercial revenue (Q1 2026) after federal fleet electrification orders ceased under the new administration. FY2025 revenue declined 42.8% to $28.2M but Q2 2026 showed 21% YoY growth and 174% sequential improvement. Headquartered in San Diego, deployed in 30+ cities across five countries. Market cap ~$30M.</w:t>
      </w:r>
    </w:p>
    <w:p>
      <w:r>
        <w:rPr>
          <w:rFonts w:ascii="Calibri" w:hAnsi="Calibri"/>
          <w:b/>
          <w:color w:val="6E8450"/>
          <w:sz w:val="18"/>
        </w:rPr>
        <w:t>197 Employees · https://www.beamforall.com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Beam Global has meaningfully diversified beyond its original EV ARC product, with Q2 2026 revenues generated across drone battery systems, defense and military applications, AI-driven robotics and industrial applications, wildfire detection technologies, battery energy storage, off-grid EV charging, and smart city infrastructure in 30+ cities across five countries [1]. The pivot from 62% government to 78% commercial revenue represents a significant business model transformation forced by policy changes. However, FY2025 revenue declined 42.8% to $28.2M, and the company has not achieved sustainable profitability [2]. AI Deployment (1/2): Q2 2026 revenue includes contributions from 'AI-driven robotics and industrial applications,' indicating AI-powered products are shipping to customers [1]. No specific AI revenue figures or AI-driven cost savings quantified. Market Share (1/2): Beam Global is the pioneer and leading manufacturer of autonomous, off-grid solar EV charging infrastructure, a category it essentially created with the patented EV ARC product [3]. But the addressable market is niche and the $30M market cap reflects limited commercial traction at scale. Product Pipeline (1/2): 160mph wind-rated EV ARC variants, BeamBike solar e-bike charger (charges 12 bikes simultaneously), drone battery platforms, and wildfire detection systems represent specific products with defined use cases deployed to customers [3]. R&amp;D Intensity (1/1): Deep patent portfolio held by CEO Desmond Wheatley with meaningful R&amp;D investment relative to revenue for a company this size, reflecting genuine commitment to product innovation in renewable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Beam Global's mission to 'Lead the World to Clean Mobility' is specific, idealistic, and connects the company's work to environmental sustainability and climate action [3]. CEO Desmond Wheatley describes the work as the perfect nexus of everything he has done professionally and believes philosophically, and the leadership team is described as 'hell-bent on changing the world.' This is not boilerplate — it reflects genuine personal conviction that shapes strategic decisions, including maintaining the clean energy focus through devastating revenue losses. Community Impact (0/2): Deployments in 30+ cities serve EV infrastructure needs but these are commercial sales rather than charitable programs. No specific foundation activities or charitable giving with dollar amounts identified. Employee Retention (1/2): CEO Wheatley has led continuously since 2011 (15 years), providing extraordinary leadership stability for a micro-cap through the traumatic 43% revenue decline in 2025 [3]. The 197-person workforce maintained operational coherence through the government-to-commercial pivot. However, specific frontline retention data is unavailable. Insider Buying (0/2): No meaningful net insider open-market buying by executives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stock formula. The liquidity floor now passes at $1.49M daily dollar volume (1.13M avg volume × $1.32), clearing the $1M threshold after volume recovery [4]. D/E of 9.47% scores perfectly (1.0) reflecting a near-debt-free balance sheet appropriate for a micro-cap [4]. Revenue growth YoY of 21% (most recent quarter) scores 1.0, driven by Q2 2026 revenue growing 21% YoY and 174% sequentially with 26% gross margin as commercial diversification takes hold [1]. ROE of -72.69% scores 0.0 (2× growth weight), reflecting deep ongoing losses. Profit margin of -64.6% scores 0.0, consistent with a pre-profitability company burning cash on R&amp;D and expansion. Forward P/E and PEG excluded as meaningless with negative expected earnings. Weighted sum 2.0 / max 5 = 4.0. The $30M market cap and $1.32 stock price remain near micro-cap/penny stock territory.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Beam Global demonstrates genuine infinite game commitment through CEO Wheatley's 15-year leadership tenure and unwavering clean energy mission, sustained through a devastating 43% revenue decline and government contract losses in 2025. The willingness to pivot from government to commercial customers, diversify into defense, drones, and wildfire detection, and expand internationally across five countries — all while remaining mission-aligned — shows purpose-driven resilience. However, the severe financial distress ($30M market cap, $1.32 stock price, -65% profit margin) raises fundamental questions about long-term viability.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Beam Global's cause — leading the world to clean mobility through renewable energy infrastructure — is genuine, specific, and consistently lived out through 15 years of CEO Wheatley's leadership [3]. The cause shapes strategic decisions: the company diversified into drone batteries, defense, and wildfire detection while maintaining its clean technology core rather than chasing unrelated revenue. Wheatley describes the mission as philosophically aligned with his core beliefs. However, the cause has not been validated through decades of profitable commercial execution — the company is still proving it can survive.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197-person organization maintained operational coherence through a traumatic 43% revenue decline and complete business model pivot from government to commercial customers [2]. CEO Wheatley's 15-year tenure provides leadership stability, and the team operates across San Diego, Chicago, Belgrade, and Kraljevo [3]. The small size inherently creates closer working relationships and shared mission commitment. However, no specific data on voluntary turnover, employee tenure, or cultural practices creating exceptional trust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Beam Global competes in the broader EV charging market alongside ChargePoint, Blink, and Tesla Superchargers but occupies a distinct niche in autonomous off-grid solar charging [3]. Management focuses on the unique value proposition of no-construction, no-permitting deployment rather than attacking rivals, and frames the market as an expanding ecosystem where multiple players can succeed. The company acknowledges competitors' strengths in scale while emphasizing its own differentiated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Beam Global has significantly expanded beyond its original EV ARC product into drone battery systems, defense and military applications, AI-driven robotics, wildfire detection, and smart city infrastructure, deployed across five countries [1]. The pivot from 62% government revenue (2024) to 78% commercial revenue (Q1 2026) forced by federal policy reversal represents meaningful strategic adaptation under duress [2]. These expansions diversify revenue but the core technology platform (solar + batteries + charging) remains fundamentally the same.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Beam Global demonstrated courage by pivoting from government dependence to commercial customers and international markets after the federal fleet electrification reversal devastated revenue by 43% in 2025 [2]. Rather than retrenching, the company expanded its product portfolio into drone batteries, defense applications, and wildfire detection, investing in R&amp;D during a period of massive losses. The first Middle East commercial sale and European expansion show continued offensive investment [1]. However, the magnitude of losses (net loss nearly matching revenue) raises the question of whether this represents courage or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Beam Global is showing meaningful revenue recovery and commercial diversification after its devastating 2025. Q2 2026 revenue grew 21% YoY and 174% sequentially with 26% gross margin, while Q1 2026 saw 78% of revenues from nongovernment commercial entities (up 48% YoY) [1]. Revenue is now generated across six product categories — drone batteries, defense/military, AI robotics, wildfire detection, energy storage, and EV charging — deployed in 30+ cities across five countries [1]. CEO Wheatley's 15-year leadership tenure and deep patent portfolio in autonomous solar infrastructure provide differentiated positioning. At $30M market cap with minimal debt (D/E 9.47%), Beam offers high-risk exposure to the clean mobility infrastructure buildout. The Inspire Impact Score of 71 (ALIGNED) with zero negative attributions and 17 positive ESG categories makes BEEM one of the highest-scoring faith alignment stocks in the universe, with a business model inherently tied to clean energy and sustainability.</w:t>
      </w:r>
    </w:p>
    <w:p>
      <w:pPr>
        <w:spacing w:after="120"/>
      </w:pPr>
      <w:r>
        <w:rPr>
          <w:rFonts w:ascii="Calibri" w:hAnsi="Calibri"/>
          <w:b w:val="0"/>
          <w:color w:val="3A4A28"/>
          <w:sz w:val="20"/>
        </w:rPr>
        <w:t>The bear case remains severe despite the liquidity improvement. FY2025 posted a net loss roughly matching its $28.2M revenue, and Q1 2026 revenue of $3.1M (down 51% YoY) with $6.9M net loss shows the burn rate remains unsustainable absent continued revenue acceleration [2]. Profit margin of -64.6% and ROE of -72.69% reflect a company far from self-sustaining operations [4]. Even with Q2's strong sequential improvement, the company needs sustained quarterly revenue above $10M with positive margins to approach breakeven. Cash reserves remain minimal — a $30M market cap company with heavy losses faces existential dilution risk from any capital raise. Competition from well-capitalized EV charging players (ChargePoint, Blink, Tesla) with broader product portfolios and deeper customer relationships threatens to marginalize Beam's niche position. The stock at $1.32 remains near penny stock territory, limiting institutional participation, and daily dollar volume of $1.49M barely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growing 21% YoY and 174% sequentially with 26% gross margin signals potential commercial revenue inflection driven by diversification away from government dependence [1]</w:t>
      </w:r>
    </w:p>
    <w:p>
      <w:pPr>
        <w:spacing w:before="40" w:after="40"/>
        <w:ind w:left="283"/>
      </w:pPr>
      <w:r>
        <w:rPr>
          <w:rFonts w:ascii="Calibri" w:hAnsi="Calibri"/>
          <w:b/>
          <w:color w:val="4A6B25"/>
          <w:sz w:val="20"/>
        </w:rPr>
        <w:t xml:space="preserve">2. </w:t>
      </w:r>
      <w:r>
        <w:rPr>
          <w:rFonts w:ascii="Calibri" w:hAnsi="Calibri"/>
          <w:b w:val="0"/>
          <w:color w:val="3A4A28"/>
          <w:sz w:val="20"/>
        </w:rPr>
        <w:t>Product diversification into drone battery systems, defense/military, and wildfire detection technologies reduces single-market dependence and opens potentially higher-margin revenue streams [1]</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to 30+ cities across five countries, including first Middle East commercial sale, provides geographic diversification away from U.S. federal policy uncertainty and opens new addressable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financial risk — FY2025 net loss roughly matched $28.2M revenue with profit margin of -64.6%, and $30M market cap leaves minimal margin for any operational setback or delayed customer payments [2][4]</w:t>
      </w:r>
    </w:p>
    <w:p>
      <w:pPr>
        <w:spacing w:before="40" w:after="40"/>
        <w:ind w:left="283"/>
      </w:pPr>
      <w:r>
        <w:rPr>
          <w:rFonts w:ascii="Calibri" w:hAnsi="Calibri"/>
          <w:b/>
          <w:color w:val="4A6B25"/>
          <w:sz w:val="20"/>
        </w:rPr>
        <w:t xml:space="preserve">2. </w:t>
      </w:r>
      <w:r>
        <w:rPr>
          <w:rFonts w:ascii="Calibri" w:hAnsi="Calibri"/>
          <w:b w:val="0"/>
          <w:color w:val="3A4A28"/>
          <w:sz w:val="20"/>
        </w:rPr>
        <w:t>Revenue volatility — Q1 2026 declined 51% YoY before Q2 surged 174% sequentially, demonstrating extreme quarterly lumpiness driven by project-based revenue recognition; annualized recent run rate must sustain above $40M for path to profitability [1][2]</w:t>
      </w:r>
    </w:p>
    <w:p>
      <w:pPr>
        <w:spacing w:before="40" w:after="40"/>
        <w:ind w:left="283"/>
      </w:pPr>
      <w:r>
        <w:rPr>
          <w:rFonts w:ascii="Calibri" w:hAnsi="Calibri"/>
          <w:b/>
          <w:color w:val="4A6B25"/>
          <w:sz w:val="20"/>
        </w:rPr>
        <w:t xml:space="preserve">3. </w:t>
      </w:r>
      <w:r>
        <w:rPr>
          <w:rFonts w:ascii="Calibri" w:hAnsi="Calibri"/>
          <w:b w:val="0"/>
          <w:color w:val="3A4A28"/>
          <w:sz w:val="20"/>
        </w:rPr>
        <w:t>Micro-cap / penny stock risk — $1.32 stock price and $30M market cap limit institutional participation, create dilution risk from any capital raise, and maintain vulnerability to NASDAQ minimum bid price compliance requirements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Beam Global's core business is designing and manufacturing physical solar-powered EV charging infrastructure, battery storage systems, and drone battery platforms — hardware products involving solar panels, batteries, steel structures, and electrical systems that AI cannot digitally substitute [3]. The EV ARC requires no construction or permitting, which is a physical deployment advantage. Manufacturing, logistics, installation, and maintenance of these systems have no AI substitution pathway. The company's deep patent portfolio and niche positioning in autonomous renewable charging add IP-based protection. However, AI could help larger, better-capitalized competitors optimize product design or charging algorithms faster than Beam's small R&amp;D team, and the company's thin competitive moat at $30M market cap limits defensibility. AI Opportunity (0/1): Q2 2026 revenues include some contribution from 'AI-driven robotics and industrial applications,' but no specific AI revenue figures or percentages were cited in public disclosures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Beam Global Q2 2026 Revenue — 21% YoY Growth, 174% Sequential, 26% Gross Margin, Drone/Defense/AI Robotics/Wildfire Revenue Streams, beamforall.com and SEC filings, July-August 2026</w:t>
      </w:r>
    </w:p>
    <w:p>
      <w:pPr>
        <w:spacing w:before="20" w:after="20"/>
        <w:ind w:left="170"/>
      </w:pPr>
      <w:r>
        <w:rPr>
          <w:rFonts w:ascii="Calibri" w:hAnsi="Calibri"/>
          <w:b/>
          <w:color w:val="4A6B25"/>
          <w:sz w:val="15"/>
        </w:rPr>
        <w:t xml:space="preserve">2. </w:t>
      </w:r>
      <w:r>
        <w:rPr>
          <w:rFonts w:ascii="Calibri" w:hAnsi="Calibri"/>
          <w:b w:val="0"/>
          <w:color w:val="3A4A28"/>
          <w:sz w:val="17"/>
        </w:rPr>
        <w:t>Beam Global FY2025 and Q1 2026 Results — $28.2M Revenue (-42.8%), Q1 $3.1M (-51% YoY), Net Loss $6.9M Q1, Commercial Revenue 78% of Q1, beamforall.com, April-May 2026</w:t>
      </w:r>
    </w:p>
    <w:p>
      <w:pPr>
        <w:spacing w:before="20" w:after="20"/>
        <w:ind w:left="170"/>
      </w:pPr>
      <w:r>
        <w:rPr>
          <w:rFonts w:ascii="Calibri" w:hAnsi="Calibri"/>
          <w:b/>
          <w:color w:val="4A6B25"/>
          <w:sz w:val="15"/>
        </w:rPr>
        <w:t xml:space="preserve">3. </w:t>
      </w:r>
      <w:r>
        <w:rPr>
          <w:rFonts w:ascii="Calibri" w:hAnsi="Calibri"/>
          <w:b w:val="0"/>
          <w:color w:val="3A4A28"/>
          <w:sz w:val="17"/>
        </w:rPr>
        <w:t>Beam Global Products, Mission, and Leadership — CEO Desmond Wheatley Since 2011, Patent Portfolio, EV ARC, BeamBike, AllCell, beamforall.com,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BEEM Key Statistics: Stock Price $1.32, D/E 9.47%, ROE -72.69%, Profit Margin -64.6%, Avg Volume 1.13M,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