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BGDE</w:t>
      </w:r>
      <w:r>
        <w:rPr>
          <w:rFonts w:ascii="Calibri" w:hAnsi="Calibri"/>
          <w:b/>
          <w:color w:val="1A2010"/>
          <w:sz w:val="40"/>
        </w:rPr>
        <w:t xml:space="preserve">  Big Digital Energy, Inc.</w:t>
      </w:r>
    </w:p>
    <w:p>
      <w:pPr>
        <w:spacing w:after="120"/>
      </w:pPr>
      <w:r>
        <w:rPr>
          <w:rFonts w:ascii="Calibri" w:hAnsi="Calibri"/>
          <w:b/>
          <w:color w:val="6E8450"/>
          <w:sz w:val="18"/>
        </w:rPr>
        <w:t>GROWTH SLEEVE · 2026-10-10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Digital Infrastructure / Bitcoin Mining · NCM · United States</w:t>
      </w:r>
    </w:p>
    <w:p>
      <w:pPr>
        <w:spacing w:after="80"/>
      </w:pPr>
      <w:r>
        <w:rPr>
          <w:rFonts w:ascii="Calibri" w:hAnsi="Calibri"/>
          <w:b w:val="0"/>
          <w:color w:val="3A4A28"/>
          <w:sz w:val="20"/>
        </w:rPr>
        <w:t>Big Digital Energy (formerly Mawson Infrastructure Group, rebranded April 2026) designs, develops, and operates digital infrastructure platforms in the United States. The company offers AI and high-performance computing services, digital asset colocation, and technology/information systems. It operates with a hash rate of approximately 4.98 EH/s. Market cap of approximately $31M with TTM revenue of $27.4M. Headquartered in Midland, Pennsylvania.</w:t>
      </w:r>
    </w:p>
    <w:p>
      <w:r>
        <w:rPr>
          <w:rFonts w:ascii="Calibri" w:hAnsi="Calibri"/>
          <w:b/>
          <w:color w:val="6E8450"/>
          <w:sz w:val="18"/>
        </w:rPr>
        <w:t>33 Employees · https://www.bigdigital.energy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Big Digital Energy rebranded from Mawson Infrastructure Group in April 2026 and announced a pivot from pure bitcoin mining to include AI and high-performance computing infrastructure — a strategic shift to capitalize on surging AI data center demand [1]. However, the pivot has not generated visible results: revenue declined 35.5% YoY, the company reports deep operating losses, and no specific AI/HPC customer wins or revenue have been disclosed. AI Deployment (0/2): Despite listing 'artificial intelligence and high-performance computing' as a service offering, no AI-powered products are shipping, no AI revenue figures have been reported, and no specific AI deployments have been described in public filings [1][3]. Market Share (0/2): At 4.98 EH/s hash rate and $31M market cap, BGDE is a micro-cap bitcoin miner with negligible market share in both the bitcoin mining industry (dominated by Marathon, Riot, CleanSpark) and the nascent AI/HPC hosting market [2]. Product Pipeline (0/2): The AI/HPC pivot has been announced but no specific products, customer contracts, or launch timelines have been disclosed beyond the general rebranding [1]. R&amp;D Intensity (0/1): No R&amp;D spending data disclosed for a 33-person company operating at a deep loss [4].</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(0/4): Big Digital Energy has no discernible mission, vision, or purpose statement beyond operating digital infrastructure for profit. The rebrand from Mawson to Big Digital Energy was a corporate identity change, not a purpose articulation. The company does not communicate why it exists beyond mining bitcoin and hosting computing workloads [1]. Community Impact (0/2): No charitable programs, community investment, or social impact initiatives have been identified for a 33-person company operating data centers in Midland, Pennsylvania [4]. Employee Retention (0/2): With only 33 full-time employees and no publicly available retention data, there is no basis to evaluate organizational trust or cultural health. Insider Buying (0/2): No evidence of meaningful insider buying activity by management or board members in the last 12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
            <w:shd w:fill="DC2626" w:val="clear"/>
          </w:tcPr>
          <w:p>
            <w:pPr>
              <w:spacing w:before="0" w:after="0"/>
            </w:pPr>
            <w:r>
              <w:rPr>
                <w:rFonts w:ascii="Calibri" w:hAnsi="Calibri"/>
                <w:b w:val="0"/>
                <w:color w:val="1A2010"/>
                <w:sz w:val="4"/>
              </w:rPr>
            </w:r>
          </w:p>
        </w:tc>
        <w:tc>
          <w:tcPr>
            <w:tcW w:type="dxa" w:w="545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LIQUIDITY FLOOR TRIGGERED: Average daily volume of 67,274 shares multiplied by stock price of $5.13 equals daily dollar volume of approximately $345,000, which falls below the $1,000,000 liquidity threshold — Infrastructure score is automatically set to 0 regardless of other metrics [4]. For context, the underlying financial metrics are deeply distressed: D/E of 260.6% is near the 300% floor, ROE of -1,076.3% reflects catastrophic capital destruction, revenue declined 35.5% YoY with a 3-year CAGR of -22.2%, forward P/E is negative (expected continued losses), profit margin is -80.7%, and operating cash flow is -$24.8M. Even without the liquidity floor, the infrastructure score would be near zero based on uniformly failed metrics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Big Digital Energy is a survival-mode company playing an entirely finite game. The rebrand from Mawson Infrastructure Group and pivot to AI/HPC are reactive responses to declining bitcoin mining economics, not expressions of a durable purpose. With only 33 employees, deep operating losses, declining revenue, and a $31M market cap, the company lacks the organizational stability and purpose required for infinite-game thinking. Every strategic decision appears driven by near-term survival rather than long-term cause.</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Big Digital Energy has no articulated Just Cause. The company exists to operate digital infrastructure for profit — first bitcoin mining, now attempting to add AI/HPC hosting. The rebrand was a marketing exercise, not an expression of purpose. There is no vision of a future state worth sacrificing for; every public statement focuses on operational metrics (hash rate, capacity) rather than why the company exists [1].</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With only 33 employees operating at a deep loss (-80.7% profit margin, -$24.8M operating cash flow), the organization lacks the stability and scale for meaningful trust assessment [4]. The company's financial distress — revenue declining 35.5% YoY with sustained negative cash flow — creates an inherently insecure environment where employee retention and organizational trust are subordinate to survival. No cultural practices, leadership continuity data, or employee satisfaction metrics are available.</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The company competes in bitcoin mining against much larger operators (Marathon Digital, Riot Platforms, CleanSpark) and is attempting to enter AI/HPC hosting against hyperscalers and established colocation providers, but no management commentary references learning from these rivals' strengths or using competitive pressure for self-improvement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pivot from pure bitcoin mining to AI/HPC hosting and the April 2026 rebrand from Mawson Infrastructure Group to Big Digital Energy represent an attempt at strategic adaptation [1]. Repurposing existing data center infrastructure and power capacity for AI workloads is a logical evolution given the AI boom. However, this pivot appears driven by desperation (declining revenue, deep losses) rather than a Just Cause, and it has not yet generated any visible results. Sinek distinguishes between flexibility driven by purpose and flexibility driven by survival; this is the latter.</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decisions that sacrificed short-term results for long-term capability. The company's pivot to AI/HPC and rebrand are reactive to deteriorating bitcoin mining economics, not proactive strategic choices [1]. Management has not demonstrated willingness to invest heavily in the future when doing so would require meaningful near-term sacrifice — the company is already burning cash at -$24.8M operating cash flow annually with a -80.7% profit margin, leaving no resources to invest courageously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Big Digital Energy at $5.13 with a $31M market cap is a speculative micro-cap play on the convergence of bitcoin mining infrastructure and AI data center demand. The April 2026 rebrand from Mawson Infrastructure Group and declared pivot to AI/HPC hosting positions existing power-dense data center assets to potentially capture surging demand for AI training and inference compute. At 4.98 EH/s hash rate and with data center capacity already built, the company could theoretically repurpose infrastructure for higher-margin AI workloads without greenfield capital expenditure. The stock's extreme beta of 4.99 provides leveraged upside exposure to both bitcoin price appreciation and AI infrastructure tailwinds [4].</w:t>
      </w:r>
    </w:p>
    <w:p>
      <w:pPr>
        <w:spacing w:after="120"/>
      </w:pPr>
      <w:r>
        <w:rPr>
          <w:rFonts w:ascii="Calibri" w:hAnsi="Calibri"/>
          <w:b w:val="0"/>
          <w:color w:val="3A4A28"/>
          <w:sz w:val="20"/>
        </w:rPr>
        <w:t>The bear case is overwhelming. Revenue declined 35.5% YoY to $27.4M in the trailing twelve months, the company lost $0.81 for every dollar of revenue (-80.7% profit margin), ROE is -1,076% reflecting catastrophic capital destruction, and operating cash flow is -$24.8M annually [4]. D/E of 260.6% with $32.4M debt against only $16.3M cash creates existential balance sheet risk. The AI/HPC pivot is entirely aspirational — no AI customer contracts, no AI revenue, and no disclosed timeline for generating AI-related income. With only 33 employees, the company lacks the engineering depth and sales infrastructure to compete against established data center operators for AI workloads. Daily dollar volume of approximately $345,000 makes the stock essentially illiquid for any institutional investor. Forward EPS of -$5.34 implies the market expects continued massive losses. The stock has declined from approximately $6.19 (50-day SMA) to $5.13, a 17% drop, reflecting ongoing investor skepticism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Successful pivot from bitcoin mining to AI/HPC hosting — any disclosed AI customer contract, revenue, or capacity utilization data could re-rate the stock given the current micro-cap valuation of $31M against physical data center assets [1]</w:t>
      </w:r>
    </w:p>
    <w:p>
      <w:pPr>
        <w:spacing w:before="40" w:after="40"/>
        <w:ind w:left="283"/>
      </w:pPr>
      <w:r>
        <w:rPr>
          <w:rFonts w:ascii="Calibri" w:hAnsi="Calibri"/>
          <w:b/>
          <w:color w:val="4A6B25"/>
          <w:sz w:val="20"/>
        </w:rPr>
        <w:t xml:space="preserve">2. </w:t>
      </w:r>
      <w:r>
        <w:rPr>
          <w:rFonts w:ascii="Calibri" w:hAnsi="Calibri"/>
          <w:b w:val="0"/>
          <w:color w:val="3A4A28"/>
          <w:sz w:val="20"/>
        </w:rPr>
        <w:t>Bitcoin price appreciation above $100,000 could improve mining economics and generate the cash flow needed to fund the AI infrastructure pivot, given the company's 4.98 EH/s hash rate and existing mining operations [2]</w:t>
      </w:r>
    </w:p>
    <w:p>
      <w:pPr>
        <w:spacing w:before="40" w:after="40"/>
        <w:ind w:left="283"/>
      </w:pPr>
      <w:r>
        <w:rPr>
          <w:rFonts w:ascii="Calibri" w:hAnsi="Calibri"/>
          <w:b/>
          <w:color w:val="4A6B25"/>
          <w:sz w:val="20"/>
        </w:rPr>
        <w:t xml:space="preserve">3. </w:t>
      </w:r>
      <w:r>
        <w:rPr>
          <w:rFonts w:ascii="Calibri" w:hAnsi="Calibri"/>
          <w:b w:val="0"/>
          <w:color w:val="3A4A28"/>
          <w:sz w:val="20"/>
        </w:rPr>
        <w:t>Potential acquisition target — the company's physical data center assets, power capacity, and low enterprise value could attract buyers in the consolidating bitcoin mining or AI infrastructure sectors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Existential going-concern risk with -$24.8M annual operating cash flow, $32.4M debt against $16.3M cash, and no clear path to profitability — the company may require dilutive equity raises or face insolvency if mining economics do not improve and AI pivot revenue does not materialize [4]</w:t>
      </w:r>
    </w:p>
    <w:p>
      <w:pPr>
        <w:spacing w:before="40" w:after="40"/>
        <w:ind w:left="283"/>
      </w:pPr>
      <w:r>
        <w:rPr>
          <w:rFonts w:ascii="Calibri" w:hAnsi="Calibri"/>
          <w:b/>
          <w:color w:val="4A6B25"/>
          <w:sz w:val="20"/>
        </w:rPr>
        <w:t xml:space="preserve">2. </w:t>
      </w:r>
      <w:r>
        <w:rPr>
          <w:rFonts w:ascii="Calibri" w:hAnsi="Calibri"/>
          <w:b w:val="0"/>
          <w:color w:val="3A4A28"/>
          <w:sz w:val="20"/>
        </w:rPr>
        <w:t>Illiquid micro-cap with daily dollar volume of only ~$345K and 33 employees — institutional investors cannot build meaningful positions, and the tiny team lacks resources to execute a credible AI infrastructure pivot against well-funded competitors [2][4]</w:t>
      </w:r>
    </w:p>
    <w:p>
      <w:pPr>
        <w:spacing w:before="40" w:after="40"/>
        <w:ind w:left="283"/>
      </w:pPr>
      <w:r>
        <w:rPr>
          <w:rFonts w:ascii="Calibri" w:hAnsi="Calibri"/>
          <w:b/>
          <w:color w:val="4A6B25"/>
          <w:sz w:val="20"/>
        </w:rPr>
        <w:t xml:space="preserve">3. </w:t>
      </w:r>
      <w:r>
        <w:rPr>
          <w:rFonts w:ascii="Calibri" w:hAnsi="Calibri"/>
          <w:b w:val="0"/>
          <w:color w:val="3A4A28"/>
          <w:sz w:val="20"/>
        </w:rPr>
        <w:t>Revenue declined 35.5% YoY and the 3-year revenue CAGR is -22.2%, reflecting a structurally declining business that has not demonstrated the ability to generate revenue from its announced AI/HPC strategy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Big Digital Energy's core infrastructure business — operating data centers, managing power systems, and hosting computing hardware — involves physical-world operations that AI cannot substitute [1][2]. Bitcoin mining requires physical ASIC hardware, power procurement, cooling systems, and real estate that no software can replace. The company's pivot toward AI/HPC hosting could position it as a beneficiary of AI demand, as AI training and inference require exactly the kind of power-dense data center capacity BGDE operates. However, the company lacks the scale, balance sheet strength, or proven execution to capture meaningful AI demand against larger competitors like Equinix, Digital Realty, or the hyperscalers, and its 4.98 EH/s hash rate represents a small operation with limited competitive moat in an industry where scale drives economics. AI Opportunity (0/1): Despite marketing AI/HPC services, no specific AI-related revenue has been quantified. The AI pivot remains aspirational with no disclosed customer contracts or revenue from AI workloads [1][3].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Big Digital Energy — Rebranded from Mawson Infrastructure Group, April 2026, Shares Trading Under BGDE Since April 30, 2026, Company Website and SEC Filings</w:t>
      </w:r>
    </w:p>
    <w:p>
      <w:pPr>
        <w:spacing w:before="20" w:after="20"/>
        <w:ind w:left="170"/>
      </w:pPr>
      <w:r>
        <w:rPr>
          <w:rFonts w:ascii="Calibri" w:hAnsi="Calibri"/>
          <w:b/>
          <w:color w:val="4A6B25"/>
          <w:sz w:val="15"/>
        </w:rPr>
        <w:t xml:space="preserve">2. </w:t>
      </w:r>
      <w:r>
        <w:rPr>
          <w:rFonts w:ascii="Calibri" w:hAnsi="Calibri"/>
          <w:b w:val="0"/>
          <w:color w:val="3A4A28"/>
          <w:sz w:val="17"/>
        </w:rPr>
        <w:t>Bitcoin Mining Stock — BGDE Profile, Hash Rate 4.98 EH/s, Market Cap $31.9M, BitcoinMiningStock.io, May 2026</w:t>
      </w:r>
    </w:p>
    <w:p>
      <w:pPr>
        <w:spacing w:before="20" w:after="20"/>
        <w:ind w:left="170"/>
      </w:pPr>
      <w:r>
        <w:rPr>
          <w:rFonts w:ascii="Calibri" w:hAnsi="Calibri"/>
          <w:b/>
          <w:color w:val="4A6B25"/>
          <w:sz w:val="15"/>
        </w:rPr>
        <w:t xml:space="preserve">3. </w:t>
      </w:r>
      <w:r>
        <w:rPr>
          <w:rFonts w:ascii="Calibri" w:hAnsi="Calibri"/>
          <w:b w:val="0"/>
          <w:color w:val="3A4A28"/>
          <w:sz w:val="17"/>
        </w:rPr>
        <w:t>TipRanks — BGDE Earnings Data, Next Earnings Date Estimates, accessed October 2026</w:t>
      </w:r>
    </w:p>
    <w:p>
      <w:pPr>
        <w:spacing w:before="20" w:after="20"/>
        <w:ind w:left="170"/>
      </w:pPr>
      <w:r>
        <w:rPr>
          <w:rFonts w:ascii="Calibri" w:hAnsi="Calibri"/>
          <w:b/>
          <w:color w:val="4A6B25"/>
          <w:sz w:val="15"/>
        </w:rPr>
        <w:t xml:space="preserve">4. </w:t>
      </w:r>
      <w:r>
        <w:rPr>
          <w:rFonts w:ascii="Calibri" w:hAnsi="Calibri"/>
          <w:b w:val="0"/>
          <w:color w:val="3A4A28"/>
          <w:sz w:val="17"/>
        </w:rPr>
        <w:t>Yahoo Finance — BGDE Key Statistics, Financial Data, and Market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