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BG</w:t>
      </w:r>
      <w:r>
        <w:rPr>
          <w:rFonts w:ascii="Calibri" w:hAnsi="Calibri"/>
          <w:b/>
          <w:color w:val="1A2010"/>
          <w:sz w:val="40"/>
        </w:rPr>
        <w:t xml:space="preserve">  Bunge Global SA</w:t>
      </w:r>
    </w:p>
    <w:p>
      <w:pPr>
        <w:spacing w:after="120"/>
      </w:pPr>
      <w:r>
        <w:rPr>
          <w:rFonts w:ascii="Calibri" w:hAnsi="Calibri"/>
          <w:b/>
          <w:color w:val="6E8450"/>
          <w:sz w:val="18"/>
        </w:rPr>
        <w:t>DIVIDEND SLEEVE · 2026-09-14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Farm Products — Agribusiness · NYSE · United States</w:t>
      </w:r>
    </w:p>
    <w:p>
      <w:pPr>
        <w:spacing w:after="80"/>
      </w:pPr>
      <w:r>
        <w:rPr>
          <w:rFonts w:ascii="Calibri" w:hAnsi="Calibri"/>
          <w:b w:val="0"/>
          <w:color w:val="3A4A28"/>
          <w:sz w:val="20"/>
        </w:rPr>
        <w:t>Bunge Global SA is one of the world's leading agribusiness and food companies, operating in the origination, processing, and distribution of oilseeds, grains, and agricultural commodities. Following the completion of its merger with Viterra on July 2, 2025, Bunge is the world's largest global oilseed processor and a top-3 grain merchandiser alongside Cargill and ADM, with operations spanning over 40 countries. Q2 2026 revenue of $24.04B (+88% YoY) and raised full-year EPS guidance to $9.25-$9.75 reflect the transformative scale of the Viterra integration [1]. CEO Greg Heckman has led the company since January 2019. Headquartered in St. Louis, Missouri.</w:t>
      </w:r>
    </w:p>
    <w:p>
      <w:r>
        <w:rPr>
          <w:rFonts w:ascii="Calibri" w:hAnsi="Calibri"/>
          <w:b/>
          <w:color w:val="6E8450"/>
          <w:sz w:val="18"/>
        </w:rPr>
        <w:t>34,000 Employees · https://www.bunge.com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Bunge completed the transformative Viterra merger (July 2, 2025), creating the world's largest oilseed processor with dramatically expanded grain merchandising volumes — Q2 2026 revenue of $24.04B was approximately 88% above the year-ago quarter, driven by the acquisition and higher commodity prices [1]. The March 2026 Investor Day established a mid-cycle EPS baseline of approximately $13 with a target of at least $15 by 2030, and FY2026 guidance was raised to $9.25-$9.75 adjusted EPS (from an initial $7.50-$8.00) [2]. AI Deployment (0/2): No specific AI-powered products, customer-facing AI applications, or quantified AI-driven cost savings have been publicly disclosed. The company uses data analytics and technology for supply chain optimization but has not reported measurable AI results [3]. Market Share (2/2): Post-Viterra merger, Bunge is the world's largest oilseed processor and a top-3 global grain trader alongside Cargill and ADM, with dominant positioning in South American soy origination and unmatched global crush capacity [1][2]. Product Pipeline (1/2): The raised FY2026 guidance ($9.25-$9.75 adjusted EPS) and $15+ mid-cycle EPS target by 2030 provide good long-term visibility. Expansion into renewable diesel feedstock adds growth optionality [2]. However, no transformative product launches beyond integration synergies. R&amp;D Intensity (0/1): R&amp;D spending is minimal as a commodity processing company; innovation comes through operational efficiency, supply chain optimization, and scale economies rather than traditional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Bunge's purpose centers on connecting farmers to consumers to deliver essential food, feed, and fuel — a clear and socially valuable mission that identifies the company's role in global food security but is not deeply distinctive from agricultural peers like ADM or Cargill [2]. The mission has been consistent through the 200-year history, though it reads more as a business description than an inspiring cause. Community Impact (1/2): Bunge employs 34,000 people globally, achieved 81% on the sustainability transparency assessment, and reached 100% traceability and monitoring of direct and indirect soy supply chains in priority regions of Brazil [4]. However, the Sustainalytics controversy score of 3.0 ('Severe') versus a category average of 1.3 indicates ongoing ESG concerns, and Friends of the Earth and Global Witness have documented supply chain links to deforestation in Brazil's Cerrado [5]. Employee Retention (1/2): CEO Greg Heckman's 7+ year tenure provides leadership stability, and the Viterra merger integration has been executed competently. Glassdoor rating of 3.7/5.0 for Bunge North America is above average, and the executive team is rated A+ on Comparably — in the top 5% of similar-sized companies [3]. However, integrating 34,000 employees from two large companies creates cultural uncertainty. Insider Buying (0/2): Net insider selling over recent periods. While 37.33% insider/strategic ownership is very high (largely from Viterra deal shares held by Glencore, CPP Investments, and other strategic investors), this reflects deal structure rather than open-market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(Dividend stock). D/E of 91% scores 0.91 at 1x weight — manageable leverage post-Viterra integration [6]. ROE of 5.96% scores 0.40 at 1x weight — depressed by integration costs and commodity margin pressure, well below the 15% target [6]. Revenue growth YoY of approximately 88% (Q2 2026 $24.04B, primarily Viterra-driven) scores 1.0 at 1x weight [1]. Revenue 5yr CAGR of approximately 11.4% scores 1.0 at 1x weight. Forward P/E of 12.4 ($118.15 / $9.50 midpoint FY2026 guidance) scores 1.0 at 1x weight — attractive valuation [1][6]. Profit margin of 1.16% scores 0.06 at 1x weight — extremely thin, typical for agricultural commodity processing [6]. Payout ratio of approximately 74% scores 0.43 at 1x weight — elevated due to depressed GAAP earnings [6]. Consecutive years paid 25 (since 2001) scores 1.0 at 2x weight. Consecutive years growth 6 scores 0.60 at 1x weight. 5yr dividend growth CAGR of 8.1% scores 1.0 at 2x weight [6]. Weighted sum: 9.40 / 12 max = 7.83, rounded to 8. Liquidity floor cleared: 2.52M avg volume x $118.15 = $297.7M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Bunge under CEO Heckman's leadership plays a mixed game — the transformative Viterra merger positions the company for long-term scale advantages, and the 200-year history demonstrates institutional endurance. However, persistent deforestation controversies (Sustainalytics 'Severe' controversy rating) reveal a gap between stated purpose and actual practice, the relentless focus on commodity margins drives short-term thinking, and the Just Cause lacks the depth and distinctiveness that Sinek requires of infinite players. The company is well-run but purpose-light.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Bunge's purpose — connecting farmers to consumers to deliver essential food, feed, and fuel — is socially valuable but reads as a business description rather than a Just Cause in the Sinek sense [2]. There is no articulated vision of a future state that transcends current operations. The company's strategic decisions are primarily driven by scale economies and commodity margins. The deforestation controversies — Sustainalytics assigns a 'Severe' controversy score of 3.0 versus category average of 1.3, and Friends of the Earth has documented supply chain links to Cerrado deforestation — suggest the cause does not consistently guide supply chain decisions when it conflicts with sourcing economics [4][5].</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Heckman's 7+ year tenure and the successful operational execution of the Viterra merger demonstrate leadership stability and organizational capability [2]. Glassdoor rating of 3.7/5.0 for Bunge North America and an A+ executive team rating on Comparably (top 5% of similar-sized companies) suggest positive organizational culture [3]. However, integrating 34,000 employees across two merged organizations spanning 40+ countries creates significant cultural challenges, and no specific retention data is available beyond ratings.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Bunge explicitly operates alongside Cargill, ADM, and Louis Dreyfus (the ABCD trading houses), and management acknowledges these rivals' strengths in specific commodities and geographies [1][2]. The Viterra merger itself was a competitive response to scale advantages possessed by Cargill, demonstrating that Bunge uses competitive dynamics to improve its own positioning rather than simply pursuing market share conquest. Management's framing focuses on building capabilities rather than destroying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Viterra merger represents significant strategic evolution — transforming Bunge from a large agricultural trader into the world's largest oilseed processor with dramatically expanded grain merchandising capabilities and geographic reach [1][2]. The company has also expanded into renewable diesel feedstock and biofuel supply chains. However, these are additive moves within the same agricultural commodity ecosystem, not a transformative pivot into an entirely new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Viterra merger was a bold, costly bet that required significant integration risk and balance sheet strain in pursuit of long-term scale advantages [1]. Heckman has raised FY2026 guidance twice — from $7.50-$8.00 to $9.25-$9.75 — showing confidence in the integration execution and establishing a $15+ mid-cycle EPS target by 2030 [2]. However, the company's persistent failure to fully commit to deforestation-free supply chains despite pressure from NGOs and major customers (Walmart, Tesco, Unilever) suggests courage is selective — the company backs down when sustainability commitments conflict with sourcing economics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Bunge Global offers a compelling value proposition as the world's largest oilseed processor trading at 12.4x forward earnings on raised FY2026 guidance of $9.25-$9.75 adjusted EPS — guidance has been raised twice from the initial $7.50-$8.00 range — with a 2.37% dividend yield and 25 consecutive years of payments [1][6]. The transformative Viterra merger created unmatched global scale: Q2 2026 revenue of $24.04B grew approximately 88% YoY, with strong EPS of $3.47 and the combined company realigned into an optimized four-segment value chain [1]. The March 2026 Investor Day established a mid-cycle EPS baseline of approximately $13 with a target of $15+ by 2030, signaling substantial earnings upside as integration synergies materialize [2]. PEG ratio of 0.68 suggests the stock is undervalued relative to growth. At $118.15 per share, the stock offers essential food security exposure at an attractive multiple with growing income support and 6 consecutive years of dividend increases.</w:t>
      </w:r>
    </w:p>
    <w:p>
      <w:pPr>
        <w:spacing w:after="120"/>
      </w:pPr>
      <w:r>
        <w:rPr>
          <w:rFonts w:ascii="Calibri" w:hAnsi="Calibri"/>
          <w:b w:val="0"/>
          <w:color w:val="3A4A28"/>
          <w:sz w:val="20"/>
        </w:rPr>
        <w:t>The bear case centers on margin fragility, integration execution, and ESG controversy. Profit margin of 1.16% provides virtually no earnings cushion — a 50bps decline in agricultural processing margins could eliminate profitability on $80B+ revenue [6]. GAAP earnings remain depressed by integration charges (GAAP P/E of 27.9 vs adjusted forward P/E of 12.4), and ROE of 5.96% is well below the 15% target, reflecting the near-term costs of absorbing Viterra. The dividend payout ratio of ~74% is elevated relative to depressed GAAP earnings, creating sustainability concerns if earnings don't recover to the $13+ mid-cycle baseline [6]. Deforestation controversies are structurally significant: Sustainalytics assigns a 'Severe' controversy score of 3.0 (versus category average of 1.3), and Friends of the Earth and Global Witness have documented supply chain links to Cerrado deforestation [4][5]. These ESG risks create regulatory, reputational, and customer-retention headwinds that could accelerate under tightening EU deforestation regulation. The Inspire Impact Score of 54 (ALIGNED) with zero negative attributions is a positive offset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Viterra synergy realization — integration driving raised FY2026 guidance to $9.25-$9.75 adjusted EPS (from initial $7.50-$8.00), with mid-cycle baseline of $13 and $15+ target by 2030 representing 35-60% earnings upside from current levels [1][2]</w:t>
      </w:r>
    </w:p>
    <w:p>
      <w:pPr>
        <w:spacing w:before="40" w:after="40"/>
        <w:ind w:left="283"/>
      </w:pPr>
      <w:r>
        <w:rPr>
          <w:rFonts w:ascii="Calibri" w:hAnsi="Calibri"/>
          <w:b/>
          <w:color w:val="4A6B25"/>
          <w:sz w:val="20"/>
        </w:rPr>
        <w:t xml:space="preserve">2. </w:t>
      </w:r>
      <w:r>
        <w:rPr>
          <w:rFonts w:ascii="Calibri" w:hAnsi="Calibri"/>
          <w:b w:val="0"/>
          <w:color w:val="3A4A28"/>
          <w:sz w:val="20"/>
        </w:rPr>
        <w:t>Commodity margin normalization — soybean crush margins and grain trading spreads were depressed in early 2026; recovery would disproportionately benefit Bunge's expanded processing capacity on an $80B+ revenue base [1]</w:t>
      </w:r>
    </w:p>
    <w:p>
      <w:pPr>
        <w:spacing w:before="40" w:after="40"/>
        <w:ind w:left="283"/>
      </w:pPr>
      <w:r>
        <w:rPr>
          <w:rFonts w:ascii="Calibri" w:hAnsi="Calibri"/>
          <w:b/>
          <w:color w:val="4A6B25"/>
          <w:sz w:val="20"/>
        </w:rPr>
        <w:t xml:space="preserve">3. </w:t>
      </w:r>
      <w:r>
        <w:rPr>
          <w:rFonts w:ascii="Calibri" w:hAnsi="Calibri"/>
          <w:b w:val="0"/>
          <w:color w:val="3A4A28"/>
          <w:sz w:val="20"/>
        </w:rPr>
        <w:t>Renewable fuel demand — growing renewable diesel mandates increase demand for soybean oil and vegetable oil feedstocks, structurally benefiting Bunge's unmatched global crush capacity and positioning the company as a critical infrastructure player in the energy transition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Margin fragility — profit margin of 1.16% provides zero cushion on $80B+ revenue; commodity margin compression could rapidly erode earnings, and the elevated ~74% payout ratio creates dividend sustainability risk if GAAP earnings don't recover to mid-cycle levels [6]</w:t>
      </w:r>
    </w:p>
    <w:p>
      <w:pPr>
        <w:spacing w:before="40" w:after="40"/>
        <w:ind w:left="283"/>
      </w:pPr>
      <w:r>
        <w:rPr>
          <w:rFonts w:ascii="Calibri" w:hAnsi="Calibri"/>
          <w:b/>
          <w:color w:val="4A6B25"/>
          <w:sz w:val="20"/>
        </w:rPr>
        <w:t xml:space="preserve">2. </w:t>
      </w:r>
      <w:r>
        <w:rPr>
          <w:rFonts w:ascii="Calibri" w:hAnsi="Calibri"/>
          <w:b w:val="0"/>
          <w:color w:val="3A4A28"/>
          <w:sz w:val="20"/>
        </w:rPr>
        <w:t>Deforestation and ESG controversy — Sustainalytics 'Severe' controversy rating (3.0 vs category average 1.3), Friends of the Earth and Global Witness documenting Cerrado deforestation links; tightening EU deforestation regulation and customer pressure create escalating regulatory and reputational risk [4][5]</w:t>
      </w:r>
    </w:p>
    <w:p>
      <w:pPr>
        <w:spacing w:before="40" w:after="40"/>
        <w:ind w:left="283"/>
      </w:pPr>
      <w:r>
        <w:rPr>
          <w:rFonts w:ascii="Calibri" w:hAnsi="Calibri"/>
          <w:b/>
          <w:color w:val="4A6B25"/>
          <w:sz w:val="20"/>
        </w:rPr>
        <w:t xml:space="preserve">3. </w:t>
      </w:r>
      <w:r>
        <w:rPr>
          <w:rFonts w:ascii="Calibri" w:hAnsi="Calibri"/>
          <w:b w:val="0"/>
          <w:color w:val="3A4A28"/>
          <w:sz w:val="20"/>
        </w:rPr>
        <w:t>Integration execution risk — the Viterra merger is the largest in Bunge's history, and GAAP earnings remain depressed by integration costs (P/E 27.9); failure to achieve the $13+ mid-cycle EPS baseline would question the deal's value creation and could trigger multiple compression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Bunge's core business — originating, transporting, processing, and distributing physical agricultural commodities across 40+ countries — is structurally immune to AI disruption [1]. Soybean crushing, grain logistics, port operations, storage elevators, and crop origination from millions of farmers require massive physical infrastructure and deeply embedded supply chain relationships that AI cannot replicate or substitute. The Viterra merger further entrenched Bunge's physical-world moat with expanded processing plants and logistics assets globally [2]. AI may improve demand forecasting, logistics routing, and commodity risk management, but these are efficiency tools, not substitution risks. Analysts have not flagged AI as a disruption risk for agricultural commodity processors. AI Opportunity (0/1): Bunge deploys data analytics across its supply chain for operational efficiency and uses technology to innovate working processes [3], but does not generate identifiable revenue from AI-related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Bunge Global Q2 2026 Earnings Release — Revenue $24.04B (+88% YoY), EPS $3.47, Raised FY2026 Guidance to $9.25-$9.75 Adjusted EPS, Four-Segment Value Chain Realignment, July 2026</w:t>
      </w:r>
    </w:p>
    <w:p>
      <w:pPr>
        <w:spacing w:before="20" w:after="20"/>
        <w:ind w:left="170"/>
      </w:pPr>
      <w:r>
        <w:rPr>
          <w:rFonts w:ascii="Calibri" w:hAnsi="Calibri"/>
          <w:b/>
          <w:color w:val="4A6B25"/>
          <w:sz w:val="15"/>
        </w:rPr>
        <w:t xml:space="preserve">2. </w:t>
      </w:r>
      <w:r>
        <w:rPr>
          <w:rFonts w:ascii="Calibri" w:hAnsi="Calibri"/>
          <w:b w:val="0"/>
          <w:color w:val="3A4A28"/>
          <w:sz w:val="17"/>
        </w:rPr>
        <w:t>Bunge Global March 2026 Investor Day — CEO Greg Heckman, Mid-Cycle EPS Baseline ~$13, $15+ Target by 2030, Viterra Integration Progress, 200-Year Company History, March 2026</w:t>
      </w:r>
    </w:p>
    <w:p>
      <w:pPr>
        <w:spacing w:before="20" w:after="20"/>
        <w:ind w:left="170"/>
      </w:pPr>
      <w:r>
        <w:rPr>
          <w:rFonts w:ascii="Calibri" w:hAnsi="Calibri"/>
          <w:b/>
          <w:color w:val="4A6B25"/>
          <w:sz w:val="15"/>
        </w:rPr>
        <w:t xml:space="preserve">3. </w:t>
      </w:r>
      <w:r>
        <w:rPr>
          <w:rFonts w:ascii="Calibri" w:hAnsi="Calibri"/>
          <w:b w:val="0"/>
          <w:color w:val="3A4A28"/>
          <w:sz w:val="17"/>
        </w:rPr>
        <w:t>Bunge Global Leadership and Culture — CEO Greg Heckman (since Jan 2019), Glassdoor 3.7/5.0, Comparably A+ Executive Team (Top 5%), Innovation and Technology Strategy, 2025-2026</w:t>
      </w:r>
    </w:p>
    <w:p>
      <w:pPr>
        <w:spacing w:before="20" w:after="20"/>
        <w:ind w:left="170"/>
      </w:pPr>
      <w:r>
        <w:rPr>
          <w:rFonts w:ascii="Calibri" w:hAnsi="Calibri"/>
          <w:b/>
          <w:color w:val="4A6B25"/>
          <w:sz w:val="15"/>
        </w:rPr>
        <w:t xml:space="preserve">4. </w:t>
      </w:r>
      <w:r>
        <w:rPr>
          <w:rFonts w:ascii="Calibri" w:hAnsi="Calibri"/>
          <w:b w:val="0"/>
          <w:color w:val="3A4A28"/>
          <w:sz w:val="17"/>
        </w:rPr>
        <w:t>Bunge Global ESG — Sustainalytics 'Severe' Controversy Rating (3.0 vs Category 1.3), 81% Sustainability Transparency Score, 100% Brazil Soy Traceability, Carbon Neutrality Commitment, 2024-2026</w:t>
      </w:r>
    </w:p>
    <w:p>
      <w:pPr>
        <w:spacing w:before="20" w:after="20"/>
        <w:ind w:left="170"/>
      </w:pPr>
      <w:r>
        <w:rPr>
          <w:rFonts w:ascii="Calibri" w:hAnsi="Calibri"/>
          <w:b/>
          <w:color w:val="4A6B25"/>
          <w:sz w:val="15"/>
        </w:rPr>
        <w:t xml:space="preserve">5. </w:t>
      </w:r>
      <w:r>
        <w:rPr>
          <w:rFonts w:ascii="Calibri" w:hAnsi="Calibri"/>
          <w:b w:val="0"/>
          <w:color w:val="3A4A28"/>
          <w:sz w:val="17"/>
        </w:rPr>
        <w:t>Global Witness and Friends of the Earth — Bunge Supply Chain Links to Cerrado Deforestation, Human Rights Concerns, Customer Pressure from Walmart/Tesco/Unilever, 2024-2026</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Yahoo Finance — BG Key Statistics: Stock Price $118.15, Forward P/E 12.44, PEG 0.68, D/E 91%, ROE 5.96%, Dividend Yield 2.37%, 25 Years Paid, 6 Years Growth,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