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BHM</w:t>
      </w:r>
      <w:r>
        <w:rPr>
          <w:rFonts w:ascii="Calibri" w:hAnsi="Calibri"/>
          <w:b/>
          <w:color w:val="1A2010"/>
          <w:sz w:val="40"/>
        </w:rPr>
        <w:t xml:space="preserve">  Bluerock Homes Trust, Inc.</w:t>
      </w:r>
    </w:p>
    <w:p>
      <w:pPr>
        <w:spacing w:after="120"/>
      </w:pPr>
      <w:r>
        <w:rPr>
          <w:rFonts w:ascii="Calibri" w:hAnsi="Calibri"/>
          <w:b/>
          <w:color w:val="6E8450"/>
          <w:sz w:val="18"/>
        </w:rPr>
        <w:t>GROWTH SLEEVE · 2026-10-13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Residential · ASE · United States</w:t>
      </w:r>
    </w:p>
    <w:p>
      <w:pPr>
        <w:spacing w:after="80"/>
      </w:pPr>
      <w:r>
        <w:rPr>
          <w:rFonts w:ascii="Calibri" w:hAnsi="Calibri"/>
          <w:b w:val="0"/>
          <w:color w:val="3A4A28"/>
          <w:sz w:val="20"/>
        </w:rPr>
        <w:t>Bluerock Homes Trust is an externally managed REIT that owns and operates a portfolio of institutional residential properties including single-family homes, build-to-rent communities, and other residential communities in Sunbelt and Western U.S. knowledge-economy markets. Formed in December 2021 and incorporated in Maryland, the company is managed by Bluerock Homes Manager, LLC. Q2 2026 rental revenues were approximately $19.3M (~15% YoY growth), and TTM revenue reached $83.1M. The company remains unprofitable with a TTM net loss of approximately -$13.6M. Market cap is approximately $33M.</w:t>
      </w:r>
    </w:p>
    <w:p>
      <w:r>
        <w:rPr>
          <w:rFonts w:ascii="Calibri" w:hAnsi="Calibri"/>
          <w:b/>
          <w:color w:val="6E8450"/>
          <w:sz w:val="18"/>
        </w:rPr>
        <w:t>https://www.bluerock.com/bluerock-homes-trust/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Bluerock Homes Trust has grown its portfolio from $34M revenue in 2022 to $83M TTM run-rate through property acquisitions and build-to-rent development in Sunbelt markets, including acquiring 897 units at three residential communities [1]. This represents steady portfolio assembly but is incremental — the business model of acquiring and operating residential rentals is unchanged since formation. AI Deployment (0/2): No AI deployment or strategy evident. As an externally managed REIT, all operations are outsourced to Bluerock Homes Manager, LLC, with no disclosed technology innovation or AI-driven efficiency gains [4]. Market Share (0/2): BHM is a micro-cap REIT with approximately $33M market cap — a negligible participant in the highly fragmented residential REIT sector dominated by Invitation Homes ($22B+) and American Homes 4 Rent ($14B+). Product Pipeline (0/2): No next-generation products or significant development pipeline disclosed beyond incremental property acquisitions. Zero analyst coverage provides no forward visibility. R&amp;D Intensity (0/1): Not applicable — the externally managed REIT model involves no research and development activity.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BHM describes its purpose as assembling 'a portfolio of infill first-ring suburban residential real estate investments in knowledge-economy and high quality of life growth markets' [4]. This is a generic real estate strategy statement interchangeable with dozens of residential REITs — it identifies a geographic focus but articulates no deeper purpose beyond financial returns. Community Impact (1/2): BHM reports energy- and water-conserving fixtures in renovated properties and sustainability policies as part of acquisition due diligence, with an employee engagement survey showing 87% pride to work for the Bluerock family [4]. However, these are modest initiatives with no specific charitable programs, foundation activity, or quantified community investment. Employee Retention (0/2): As an externally managed REIT with no disclosed direct employees of meaningful scale, retention metrics are unavailable and inapplicable — all operations run through the external manager [4]. Insider Buying (0/2): No evidence of meaningful insider buying in the last 12 months found in current searches. CEO Kamfar previously purchased shares in March 2026, but at modest dollar amounts relative to total equity value.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5,026 shares multiplied by stock price of $8.00 equals daily dollar volume of approximately $40,208 — drastically below the $1,000,000 minimum threshold [2]. Infrastructure score is automatically set to 0 regardless of other metrics. Liquidity has deteriorated further since the prior screen, with volume falling from ~10K to ~5K shares/day. For reference, the underlying metrics show improvement in leverage (D/E improved to 61.6% from 152% through equity raises), but the company remains unprofitable: ROE of -5.9%, TTM net loss of approximately -$13.6M on $83.1M revenue [1][2]. The $0.50 annual dividend (6.25% yield) is not covered by earnings, raising sustainability concerns. The stock has declined from $10.83 to $8.00, a 26% deterioration since the last screen.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Bluerock Homes Trust is a quintessential finite player — a 4-year-old externally managed REIT formed to assemble a residential property portfolio with no articulated purpose beyond investment returns. The external management structure creates inherent misalignment between manager fees and unitholder interests, with the manager extracting fees regardless of stock performance. The company's short operating history, lack of organizational culture, and absence of any Just Cause place it firmly in the finite category by Sinek's framework.</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BHM's stated purpose is to generate 'attractive risk-adjusted investment returns' through residential real estate in knowledge-economy markets [4]. This is a purely financial objective with no vision of a better future beyond shareholder returns. The externally managed structure means the company's fundamental reason for existence is as a fee-generation vehicle for the external manager. Sinek would classify this as a textbook finite player — the company exists to make money, not to advance a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As an externally managed REIT, BHM has no meaningful internal organizational culture to evaluate [4]. Operations, property management, and strategic decisions are outsourced to Bluerock Homes Manager, LLC. The external management structure inherently creates principal-agent conflicts — the manager earns fees regardless of stock performance, and employees work for the manager rather than the REIT, creating split loyalties with no direct accountability to unitholders. The 87% employee engagement score reflects the Bluerock family of companies broadly, not BHM specifically.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self-awareness or references to learning from rivals in public communications. The company positions itself against the broader residential REIT landscape without acknowledging specific worthy rivals whose strengths might reveal its own weaknesses. Competitive language focuses on market selection (Sunbelt, knowledge-economy regions) rather than self-improvement relative to dominant peers like Invitation Homes or American Homes 4 Rent.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BHM was formed in late 2021 and has been operating for under 5 years — too young to have faced a test of existential flexibility [4]. The company has not undergone any strategic pivots, maintaining the same residential REIT model since inception. The external management structure further constrains strategic flexibility, as major decisions require manager alignment and board approval.</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decisions that sacrificed short-term performance for long-term capability. The company has continued standard REIT portfolio-building through property acquisitions — normal business activity, not courageous strategic leadership [1]. Widening losses and the unchanged external management fee structure suggest leadership prioritizes continuity and fee generation over difficult trade-offs for unitholder benefit. The stock's 26% decline since the prior screen has prompted no visible strategic pivot or bold response.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Bluerock Homes Trust offers exposure to Sunbelt residential real estate through a portfolio of single-family homes and build-to-rent communities in high-growth knowledge-economy markets. Revenue grew from $34M in 2022 to $83M TTM, with Q1 2026 rental revenues rising 24% YoY to $19.7M driven by acquisitions and rent gains [1]. The 6.25% dividend yield provides income while the portfolio matures, D/E improved to 61.6% through equity raises, and the business is structurally immune to AI disruption as physical housing cannot be displaced by software. The 87% employee engagement score suggests organizational stability at the management company level [4].</w:t>
      </w:r>
    </w:p>
    <w:p>
      <w:pPr>
        <w:spacing w:after="120"/>
      </w:pPr>
      <w:r>
        <w:rPr>
          <w:rFonts w:ascii="Calibri" w:hAnsi="Calibri"/>
          <w:b w:val="0"/>
          <w:color w:val="3A4A28"/>
          <w:sz w:val="20"/>
        </w:rPr>
        <w:t>The bear case is severe and multi-dimensional. BHM is a micro-cap (~$33M market cap) externally managed REIT with critical structural problems: average daily volume of approximately 5,000 shares creates extreme illiquidity, with daily dollar volume of $40K being 25x below the $1M IOWN minimum threshold [2]. The stock has declined 26% from $10.83 to $8.00 since the prior screen, destroying shareholder value. The external management structure extracts significant annual fees from a tiny-equity entity — a substantial ongoing drag on equity value. Financial performance remains unprofitable: ROE of -5.9%, TTM net loss of approximately -$13.6M, and the $0.50 annual dividend exceeds earnings, raising sustainability concerns [1][2]. Revenue growth decelerated from 24% in Q1 to approximately 15% in Q2 2026. No analysts cover the stock, providing zero institutional oversight. The Inspire Impact Score of 0 (MIXED) with no positive or negative attributions provides no faith-alignment differentiation. This is an untradeable, unprofitable micro-cap with structural management conflicts.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continuing at 13-24% YoY driven by portfolio expansion and rent growth in Sunbelt markets — continued property acquisitions could accelerate revenue toward breakeven if operating leverage emerges from scale [1]</w:t>
      </w:r>
    </w:p>
    <w:p>
      <w:pPr>
        <w:spacing w:before="40" w:after="40"/>
        <w:ind w:left="283"/>
      </w:pPr>
      <w:r>
        <w:rPr>
          <w:rFonts w:ascii="Calibri" w:hAnsi="Calibri"/>
          <w:b/>
          <w:color w:val="4A6B25"/>
          <w:sz w:val="20"/>
        </w:rPr>
        <w:t xml:space="preserve">2. </w:t>
      </w:r>
      <w:r>
        <w:rPr>
          <w:rFonts w:ascii="Calibri" w:hAnsi="Calibri"/>
          <w:b w:val="0"/>
          <w:color w:val="3A4A28"/>
          <w:sz w:val="20"/>
        </w:rPr>
        <w:t>Potential internalization of management structure would eliminate the annual fee burden and improve alignment between management and unitholders — a catalyst frequently seen in externally managed REIT transitions</w:t>
      </w:r>
    </w:p>
    <w:p>
      <w:pPr>
        <w:spacing w:before="40" w:after="40"/>
        <w:ind w:left="283"/>
      </w:pPr>
      <w:r>
        <w:rPr>
          <w:rFonts w:ascii="Calibri" w:hAnsi="Calibri"/>
          <w:b/>
          <w:color w:val="4A6B25"/>
          <w:sz w:val="20"/>
        </w:rPr>
        <w:t xml:space="preserve">3. </w:t>
      </w:r>
      <w:r>
        <w:rPr>
          <w:rFonts w:ascii="Calibri" w:hAnsi="Calibri"/>
          <w:b w:val="0"/>
          <w:color w:val="3A4A28"/>
          <w:sz w:val="20"/>
        </w:rPr>
        <w:t>Improved leverage profile (D/E from 152% to 61.6%) through equity raises positions the company for more accretive acquisitions and reduces balance sheet risk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illiquidity with average daily volume of ~5,000 shares and $40K daily dollar volume — positions cannot be entered or exited without significant price impact, making the stock untradeable for any institutional investor and disqualifying under IOWN's $1M liquidity floor [2]</w:t>
      </w:r>
    </w:p>
    <w:p>
      <w:pPr>
        <w:spacing w:before="40" w:after="40"/>
        <w:ind w:left="283"/>
      </w:pPr>
      <w:r>
        <w:rPr>
          <w:rFonts w:ascii="Calibri" w:hAnsi="Calibri"/>
          <w:b/>
          <w:color w:val="4A6B25"/>
          <w:sz w:val="20"/>
        </w:rPr>
        <w:t xml:space="preserve">2. </w:t>
      </w:r>
      <w:r>
        <w:rPr>
          <w:rFonts w:ascii="Calibri" w:hAnsi="Calibri"/>
          <w:b w:val="0"/>
          <w:color w:val="3A4A28"/>
          <w:sz w:val="20"/>
        </w:rPr>
        <w:t>External management structure extracts significant annual fees from a ~$33M market cap entity — a structural drag on equity value that disadvantages unitholders relative to the manager, with no visibility on when or if internalization might occur</w:t>
      </w:r>
    </w:p>
    <w:p>
      <w:pPr>
        <w:spacing w:before="40" w:after="40"/>
        <w:ind w:left="283"/>
      </w:pPr>
      <w:r>
        <w:rPr>
          <w:rFonts w:ascii="Calibri" w:hAnsi="Calibri"/>
          <w:b/>
          <w:color w:val="4A6B25"/>
          <w:sz w:val="20"/>
        </w:rPr>
        <w:t xml:space="preserve">3. </w:t>
      </w:r>
      <w:r>
        <w:rPr>
          <w:rFonts w:ascii="Calibri" w:hAnsi="Calibri"/>
          <w:b w:val="0"/>
          <w:color w:val="3A4A28"/>
          <w:sz w:val="20"/>
        </w:rPr>
        <w:t>Persistent unprofitability with TTM net loss of approximately -$13.6M despite revenue growth, combined with a dividend ($0.50/year) not covered by earnings — raising dividend sustainability risk and potential forced cut if losses continue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Bluerock Homes Trust's core business — owning and operating physical residential properties — is structurally immune to AI disruption [4]. Single-family homes and build-to-rent communities require physical land, construction, and maintenance that AI cannot displace. Housing demand in Sunbelt markets is driven by population growth, job formation, and lifestyle preferences independent of AI technology. AI may marginally improve property management efficiency through predictive maintenance and leasing optimization, but cannot substitute for the underlying real estate assets. No analysts have flagged AI as a risk factor for residential REITs. AI Opportunity (0/1): BHM generates no revenue from AI-related products or services. The externally managed structure means any technology adoption occurs at the manager level, and no AI-driven revenue or cost savings have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Bluerock Homes Trust Q1 2026 10-Q (SEC Filing) — Rental revenues $19.7M (+24% YoY), net loss widened, 897-unit acquisition, March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StockAnalysis — BHM Statistics: Price $8.00, D/E 61.6%, ROE -5.9%, Market Cap ~$33M, Avg Volume ~5K, TTM Revenue $83.1M,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Bluerock Homes Trust Q2 2026 10-Q (SEC Filing) — Revenue approximately $19.3M (~15% YoY growth), net loss of approximately -$9.0M, June 2026</w:t>
      </w:r>
    </w:p>
    <w:p>
      <w:pPr>
        <w:spacing w:before="20" w:after="20"/>
        <w:ind w:left="170"/>
      </w:pPr>
      <w:r>
        <w:rPr>
          <w:rFonts w:ascii="Calibri" w:hAnsi="Calibri"/>
          <w:b/>
          <w:color w:val="4A6B25"/>
          <w:sz w:val="15"/>
        </w:rPr>
        <w:t xml:space="preserve">4. </w:t>
      </w:r>
      <w:r>
        <w:rPr>
          <w:rFonts w:ascii="Calibri" w:hAnsi="Calibri"/>
          <w:b w:val="0"/>
          <w:color w:val="3A4A28"/>
          <w:sz w:val="17"/>
        </w:rPr>
        <w:t>Bluerock Homes Trust SEC Filings and Investor Relations — External management structure, ESG sustainability policy, 87% employee engagement,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