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BHP</w:t>
      </w:r>
      <w:r>
        <w:rPr>
          <w:rFonts w:ascii="Calibri" w:hAnsi="Calibri"/>
          <w:b/>
          <w:color w:val="1A2010"/>
          <w:sz w:val="40"/>
        </w:rPr>
        <w:t xml:space="preserve">  BHP Group Limited</w:t>
      </w:r>
    </w:p>
    <w:p>
      <w:pPr>
        <w:spacing w:after="120"/>
      </w:pPr>
      <w:r>
        <w:rPr>
          <w:rFonts w:ascii="Calibri" w:hAnsi="Calibri"/>
          <w:b/>
          <w:color w:val="6E8450"/>
          <w:sz w:val="18"/>
        </w:rPr>
        <w:t>DIVIDEND SLEEVE · 2026-08-27 · Inspire: 0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Mining — Diversified Metals · NYSE · Australia</w:t>
      </w:r>
    </w:p>
    <w:p>
      <w:pPr>
        <w:spacing w:after="80"/>
      </w:pPr>
      <w:r>
        <w:rPr>
          <w:rFonts w:ascii="Calibri" w:hAnsi="Calibri"/>
          <w:b w:val="0"/>
          <w:color w:val="3A4A28"/>
          <w:sz w:val="20"/>
        </w:rPr>
        <w:t>BHP Group Limited is the world's largest diversified mining company by market capitalization, producing iron ore, copper, potash, metallurgical coal, and other commodities across major assets in Australia, the Americas, and globally. FY2026 (ending June 2026) delivered record results: revenue of US$58.76B (+15%), underlying EBITDA of US$33B (+27%, ~60% margin), underlying attributable profit of US$13B (+30%), and net operating cash flows of US$21.8B. The company declared a record four-year dividend of US$8.7B. CEO Mike Henry is transitioning to Brandon Craig. Headquartered in Melbourne, Australia; listed on NYSE as an ADR.</w:t>
      </w:r>
    </w:p>
    <w:p>
      <w:r>
        <w:rPr>
          <w:rFonts w:ascii="Calibri" w:hAnsi="Calibri"/>
          <w:b/>
          <w:color w:val="6E8450"/>
          <w:sz w:val="18"/>
        </w:rPr>
        <w:t>90,000 Employees · https://www.bhp.com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BHP has executed a transformative portfolio pivot over the past five years — divesting its petroleum business through the US$28B Woodside merger (2022), acquiring OZ Minerals for A$9.6B to expand copper exposure (2023), and advancing the US$12.8B Jansen Stage 1 potash project toward first production in FY2027 [1][4]. FY2026 validated the strategy with US$58.76B revenue (+15%), record iron ore production, and approximately 2 million tonnes of copper for a second consecutive year. These moves represent a deliberate strategic pivot from fossil fuels toward future-facing commodities that redefined the company's earnings mix. AI Deployment (1/2): BHP deploys AI across global mining operations for exploration data analysis (identifying new mineral deposits from legacy datasets), predictive maintenance, and operational optimization — AI is moving 'beyond experimentation into day-to-day operations' per January 2026 company disclosures [2]. However, no specific dollar savings have been publicly quantified. Market Share (2/2): World's largest diversified mining company by market cap, delivering record iron ore production and shipments at WAIO, approximately 2 million tonnes of copper production for a second consecutive year, and dominant positions in metallurgical coal [1]. Pipeline (1/2): Jansen Stage 1 potash reaching first production FY2027 provides clear pipeline visibility into a new commodity vertical addressing global food security; copper expansion projects at Escondida and Olympic Dam are in various stages [4]. R&amp;D Intensity (0/1): R&amp;D spending is below 1% of revenue, typical for mining but below the threshold for credit.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BHP's stated purpose — 'to bring people and resources together to build a better world' — is specific, thoughtful, and has guided portfolio decisions (exiting petroleum, investing in copper for electrification, potash for food security) [4]. However, the tension between this aspirational purpose and the environmental reality of large-scale mining (particularly the Fundao dam disaster) limits credibility as a transformative cause. Community Impact (1/2): BHP maintains significant community investment through the BHP Foundation and scholarship programs, and has invested billions in remediation following the 2015 Samarco/Fundao dam collapse in Brazil [3]. However, the disaster that killed 19 people and caused catastrophic environmental damage remains an open wound — a UK court judgment held BHP parent companies liable, with a Stage 2 trial scheduled for late 2026 and 200,000+ remaining claimants [3]. Employee Retention (1/2): The BHP Operating System provides a consistent decision-making framework across 90,000 employees (including contractors) with strong safety culture emphasis [4]. Leadership transitions have been planned and orderly (Henry to Craig). However, mining's inherently challenging labor conditions limit evidence of exceptional retention. Insider Buying (0/2): No evidence of meaningful net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Dividend-sleeve metrics following auto-classification (5+ year payment history, yield &gt;2%). FY2026 delivered exceptional core metrics: D/E of 53% well below the 70% target, ROE of 24.71% exceeding the 15% target, revenue growth YoY of 15% exceeding the 10% target driven by record copper prices (+35%) and iron ore production, and Forward P/E of 13.70 providing significant discount to the 20x target [1][5]. Profit margin of 18.97% approaches the 20% target. However, BHP's cyclical dividend policy is the primary drag — only 2 consecutive years of dividend growth and a negative 5-year CAGR (-0.9%) score 0 on the most heavily weighted dividend metrics (2x weight each) [5]. Payout ratio of 66% is above the 40% target, and consecutive years paid of 50+ years score maximum. Weighted sum: 8.52 / max 12.0 = 0.71 x 10 = 7. Daily dollar volume of ~$293M easily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BHP demonstrates strong infinite-game characteristics built on 120+ years of operational history, a genuine purpose connecting mining to societal progress, and a pattern of transformative strategic decisions validated by record FY2026 results [1][4]. The petroleum exit, OZ Minerals copper acquisition, and US$12.8B Jansen potash investment represent multiple courageous bets on the future that are now paying off with US$33B EBITDA and record dividends. The BHP Operating System provides organizational consistency across 90,000 employees, and leadership transitions (Henry to Craig) are orderly. The Fundao dam liability and commodity cyclicality introduce finite-game tensions but do not undermine the company's long-term orientation.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BHP's purpose — 'bring people and resources together to build a better world' — has been partially validated by 120+ years of continuous operation through world wars, commodity busts, and industry transformations, and recent strategic decisions clearly trace back to enabling the energy transition (copper for electrification) and global food security (Jansen potash) [4]. However, the Fundao dam disaster and ongoing UK litigation (Stage 2 trial late 2026, 200,000+ claimants) reveal that the purpose has not consistently shaped all operational decisions — a company building 'a better world' does not produce catastrophic environmental disasters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BHP Operating System provides a structured decision-making framework across 90,000 employees in diverse global locations, with strong emphasis on safety culture and continuous improvement [4]. Leadership transitions have been planned and orderly — Mike Henry to Brandon Craig follows BHP's pattern of internal succession. However, the Samarco dam disaster revealed systemic governance failures in joint venture oversight [3], and mining's inherently hierarchical operational culture and fly-in/fly-out workforce structures create limits on psychological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BHP competes directly with Rio Tinto and Vale across multiple commodity markets and uses these rivalries constructively to drive operational improvement and safety standards [4]. The company's competitive language focuses on operational excellence and portfolio quality rather than defeating specific rivals. BHP's response to Rio Tinto's superior iron ore cost position has been to invest in automation and efficiency rather than destructive price competition, and the collaborative Pilbara infrastructure relationships reflect an infinite mindset.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BHP has fundamentally reinvented its portfolio twice in the last decade — demerging South32 in 2015 to simplify the asset base, then spinning off its petroleum business through the US$28B Woodside merger in 2022 to exit fossil fuels entirely [4]. Each pivot abandoned profitable, working businesses in service of a longer-term strategic vision around future-facing commodities. The FY2026 results — US$58.76B revenue (+15%), US$33B EBITDA (+27%), record copper production — validate that the transformation worked [1]. The US$12.8B Jansen potash project entering an entirely new commodity vertical further demonstrates willingness to reinvent the portfolio.</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BHP demonstrates a consistent pattern of costly long-term bets now validated by results — exiting the US$28B petroleum business through Woodside when oil was still highly profitable, acquiring OZ Minerals for A$9.6B to double down on copper during the energy transition, and committing US$12.8B to Jansen potash with a multi-decade return horizon [4]. FY2026 delivered US$33B EBITDA (+27%) and record US$8.7B dividend, proving these decisions sacrificed near-term earnings optionality for long-term strategic positioning that is now generating exceptional returns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BHP delivered record FY2026 results — US$58.76B revenue (+15%), US$33B underlying EBITDA (+27%, ~60% margin), US$13B underlying profit (+30%), and US$21.8B operating cash flow — driven by record copper prices (+35%) and iron ore production [1]. At 13.70x forward earnings with a 3.74% dividend yield and net debt declining to US$8.7B, BHP offers exceptional value for a diversified mining leader positioned at the intersection of AI infrastructure demand (copper), energy transition (electrification), and global food security (Jansen potash reaching first production FY2027) [4]. The petroleum exit and copper pivot are now fully validated by results, ROE of 24.71% demonstrates strong capital efficiency, and the US$8.7B total dividend is the highest in four years [1][5]. The orderly CEO transition from Mike Henry to Brandon Craig provides continuity.</w:t>
      </w:r>
    </w:p>
    <w:p>
      <w:pPr>
        <w:spacing w:after="120"/>
      </w:pPr>
      <w:r>
        <w:rPr>
          <w:rFonts w:ascii="Calibri" w:hAnsi="Calibri"/>
          <w:b w:val="0"/>
          <w:color w:val="3A4A28"/>
          <w:sz w:val="20"/>
        </w:rPr>
        <w:t>BHP's commodity exposure creates inherent cyclicality — the 15% revenue growth and 35% copper price tailwind in FY2026 may not be sustained, and iron ore prices face Chinese demand risk as property sector restructuring continues; the 5-year dividend CAGR of -0.9% demonstrates that shareholders bear the full volatility of commodity cycles through BHP's payout-ratio-linked policy [5]. The Fundao dam disaster litigation continues with a UK Stage 2 trial in late 2026 covering causation and quantum, which could result in multi-billion dollar additional liability alongside the 200,000+ remaining claimants [3]. The CEO transition from Henry to Craig introduces execution risk during major capital deployment (US$12.8B Jansen, copper expansions), and the Inspire Impact Score of 0 (MIXED) reflects the absence of faith-alignment data for this Australian-domiciled miner. Profit margin of 18.97% is below the 20% target, and the trailing P/E of 20.79 suggests the market is cautious about earnings sustainability at peak commodity prices.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Jansen Stage 1 potash project reaching first production in FY2027, adding an entirely new commodity vertical with multi-decade revenue potential in the US$20B+ global potash market addressing food security [4]</w:t>
      </w:r>
    </w:p>
    <w:p>
      <w:pPr>
        <w:spacing w:before="40" w:after="40"/>
        <w:ind w:left="283"/>
      </w:pPr>
      <w:r>
        <w:rPr>
          <w:rFonts w:ascii="Calibri" w:hAnsi="Calibri"/>
          <w:b/>
          <w:color w:val="4A6B25"/>
          <w:sz w:val="20"/>
        </w:rPr>
        <w:t xml:space="preserve">2. </w:t>
      </w:r>
      <w:r>
        <w:rPr>
          <w:rFonts w:ascii="Calibri" w:hAnsi="Calibri"/>
          <w:b w:val="0"/>
          <w:color w:val="3A4A28"/>
          <w:sz w:val="20"/>
        </w:rPr>
        <w:t>Copper price tailwinds from AI data center construction, electric vehicle adoption, and grid electrification — BHP's approximately 2 million tonnes of annual copper production positions it as a primary beneficiary of secular demand growth [1]</w:t>
      </w:r>
    </w:p>
    <w:p>
      <w:pPr>
        <w:spacing w:before="40" w:after="40"/>
        <w:ind w:left="283"/>
      </w:pPr>
      <w:r>
        <w:rPr>
          <w:rFonts w:ascii="Calibri" w:hAnsi="Calibri"/>
          <w:b/>
          <w:color w:val="4A6B25"/>
          <w:sz w:val="20"/>
        </w:rPr>
        <w:t xml:space="preserve">3. </w:t>
      </w:r>
      <w:r>
        <w:rPr>
          <w:rFonts w:ascii="Calibri" w:hAnsi="Calibri"/>
          <w:b w:val="0"/>
          <w:color w:val="3A4A28"/>
          <w:sz w:val="20"/>
        </w:rPr>
        <w:t>Continued balance sheet strengthening (net debt declined to US$8.7B) enabling sustained capital returns and opportunistic M&amp;A in future-facing commodities while maintaining the highest dividend in four years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Chinese iron ore demand risk — property sector restructuring and slowing infrastructure investment could compress iron ore prices, which represent BHP's largest earnings contribution and are leveraged to Chinese steel production [1]</w:t>
      </w:r>
    </w:p>
    <w:p>
      <w:pPr>
        <w:spacing w:before="40" w:after="40"/>
        <w:ind w:left="283"/>
      </w:pPr>
      <w:r>
        <w:rPr>
          <w:rFonts w:ascii="Calibri" w:hAnsi="Calibri"/>
          <w:b/>
          <w:color w:val="4A6B25"/>
          <w:sz w:val="20"/>
        </w:rPr>
        <w:t xml:space="preserve">2. </w:t>
      </w:r>
      <w:r>
        <w:rPr>
          <w:rFonts w:ascii="Calibri" w:hAnsi="Calibri"/>
          <w:b w:val="0"/>
          <w:color w:val="3A4A28"/>
          <w:sz w:val="20"/>
        </w:rPr>
        <w:t>Fundao dam litigation — UK Stage 2 trial in late 2026 covering causation and quantum could result in material additional liability beyond the billions already spent on remediation, with 200,000+ remaining claimants [3]</w:t>
      </w:r>
    </w:p>
    <w:p>
      <w:pPr>
        <w:spacing w:before="40" w:after="40"/>
        <w:ind w:left="283"/>
      </w:pPr>
      <w:r>
        <w:rPr>
          <w:rFonts w:ascii="Calibri" w:hAnsi="Calibri"/>
          <w:b/>
          <w:color w:val="4A6B25"/>
          <w:sz w:val="20"/>
        </w:rPr>
        <w:t xml:space="preserve">3. </w:t>
      </w:r>
      <w:r>
        <w:rPr>
          <w:rFonts w:ascii="Calibri" w:hAnsi="Calibri"/>
          <w:b w:val="0"/>
          <w:color w:val="3A4A28"/>
          <w:sz w:val="20"/>
        </w:rPr>
        <w:t>Commodity price cyclicality — the 35% copper price increase and record iron ore production in FY2026 may represent a near-term peak, and mean-reversion could directly compress BHP's EBITDA margin; the negative 5-year dividend CAGR demonstrates this volatility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Mining is fundamentally a physical-world business — extracting, processing, and transporting bulk commodities like iron ore, copper, and potash requires massive capital assets, geological expertise, regulatory licenses, and operational scale that AI cannot substitute [1]. BHP's competitive moats are resource quality (Pilbara iron ore grades, Escondida copper reserves), infrastructure (rail networks, port terminals), and sovereign relationships — none of which are vulnerable to digital disruption. Moreover, the AI boom is structurally bullish for BHP: data centers require enormous quantities of copper for wiring, cooling, and chip packaging, and electrification driven by AI infrastructure build-out directly increases demand for BHP's core commodities [2]. Record FY2026 copper prices (+35%) partly reflect this AI-driven demand surge. AI Opportunity (1/1): BHP has deployed AI operationally through its Business Operating System across 90+ mine sites for predictive maintenance, exploration targeting (evaluating legacy data to find new mineral deposits), and process optimization, with AI moving 'beyond experimentation into day-to-day operations'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BHP FY2026 Full-Year Results — Revenue US$58.76B (+15%), Underlying EBITDA US$33B (+27%), Underlying Profit US$13B (+30%), Record Dividend US$8.7B, Net Debt US$8.7B, bhp.com, August 2026</w:t>
      </w:r>
    </w:p>
    <w:p>
      <w:pPr>
        <w:spacing w:before="20" w:after="20"/>
        <w:ind w:left="170"/>
      </w:pPr>
      <w:r>
        <w:rPr>
          <w:rFonts w:ascii="Calibri" w:hAnsi="Calibri"/>
          <w:b/>
          <w:color w:val="4A6B25"/>
          <w:sz w:val="15"/>
        </w:rPr>
        <w:t xml:space="preserve">2. </w:t>
      </w:r>
      <w:r>
        <w:rPr>
          <w:rFonts w:ascii="Calibri" w:hAnsi="Calibri"/>
          <w:b w:val="0"/>
          <w:color w:val="3A4A28"/>
          <w:sz w:val="17"/>
        </w:rPr>
        <w:t>BHP AI and Mining Operations — AI Improving Performance Across Global Mining, Exploration, Predictive Maintenance, Day-to-Day Operations, bhp.com/news, January 2026</w:t>
      </w:r>
    </w:p>
    <w:p>
      <w:pPr>
        <w:spacing w:before="20" w:after="20"/>
        <w:ind w:left="170"/>
      </w:pPr>
      <w:r>
        <w:rPr>
          <w:rFonts w:ascii="Calibri" w:hAnsi="Calibri"/>
          <w:b/>
          <w:color w:val="4A6B25"/>
          <w:sz w:val="15"/>
        </w:rPr>
        <w:t xml:space="preserve">3. </w:t>
      </w:r>
      <w:r>
        <w:rPr>
          <w:rFonts w:ascii="Calibri" w:hAnsi="Calibri"/>
          <w:b w:val="0"/>
          <w:color w:val="3A4A28"/>
          <w:sz w:val="17"/>
        </w:rPr>
        <w:t>BHP Fundao Dam Litigation — UK Court Holds BHP Parent Companies Liable, Stage 2 Trial Late 2026, 200,000+ Claimants, Settlement Agreements, Various Sources, 2024-2026</w:t>
      </w:r>
    </w:p>
    <w:p>
      <w:pPr>
        <w:spacing w:before="20" w:after="20"/>
        <w:ind w:left="170"/>
      </w:pPr>
      <w:r>
        <w:rPr>
          <w:rFonts w:ascii="Calibri" w:hAnsi="Calibri"/>
          <w:b/>
          <w:color w:val="4A6B25"/>
          <w:sz w:val="15"/>
        </w:rPr>
        <w:t xml:space="preserve">4. </w:t>
      </w:r>
      <w:r>
        <w:rPr>
          <w:rFonts w:ascii="Calibri" w:hAnsi="Calibri"/>
          <w:b w:val="0"/>
          <w:color w:val="3A4A28"/>
          <w:sz w:val="17"/>
        </w:rPr>
        <w:t>BHP Leadership and Strategic Portfolio — CEO Henry to Brandon Craig Transition, Woodside Petroleum Merger, OZ Minerals Acquisition, Jansen Potash Project, Russell Reynolds/Mining Technology,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GuruFocus — BHP Key Statistics: Forward P/E 13.70, ROE 24.71%, D/E 53%, Dividend Yield 3.74%, Profit Margin 18.97%,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