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BHVN</w:t>
      </w:r>
      <w:r>
        <w:rPr>
          <w:rFonts w:ascii="Calibri" w:hAnsi="Calibri"/>
          <w:b/>
          <w:color w:val="1A2010"/>
          <w:sz w:val="40"/>
        </w:rPr>
        <w:t xml:space="preserve">  Biohaven Ltd.</w:t>
      </w:r>
    </w:p>
    <w:p>
      <w:pPr>
        <w:spacing w:after="120"/>
      </w:pPr>
      <w:r>
        <w:rPr>
          <w:rFonts w:ascii="Calibri" w:hAnsi="Calibri"/>
          <w:b/>
          <w:color w:val="6E8450"/>
          <w:sz w:val="18"/>
        </w:rPr>
        <w:t>GROWTH SLEEVE · 2026-09-04 · Inspire: 26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37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NYSE · United States</w:t>
      </w:r>
    </w:p>
    <w:p>
      <w:pPr>
        <w:spacing w:after="80"/>
      </w:pPr>
      <w:r>
        <w:rPr>
          <w:rFonts w:ascii="Calibri" w:hAnsi="Calibri"/>
          <w:b w:val="0"/>
          <w:color w:val="3A4A28"/>
          <w:sz w:val="20"/>
        </w:rPr>
        <w:t>Biohaven Ltd. is a clinical-stage biopharmaceutical company focused on discovering and developing therapies for neurological, immunological, and other diseases. Key pipeline assets include taldefgrobep alfa (myostatin inhibitor for obesity), opakalim (Kv7 activator for epilepsy with Phase 2/3 RISE3 topline results expected H2 2026), BHV-1300 (Graves' disease, Phase 3 initiated), and BHV-1400 (IgA nephropathy). Spun off from original Biohaven after Pfizer's $11.6B acquisition in 2022. Pre-revenue with Q2 2026 net loss of $137.3M and $270.5M cash. Led by CEO Vlad Coric, M.D.</w:t>
      </w:r>
    </w:p>
    <w:p>
      <w:r>
        <w:rPr>
          <w:rFonts w:ascii="Calibri" w:hAnsi="Calibri"/>
          <w:b/>
          <w:color w:val="6E8450"/>
          <w:sz w:val="18"/>
        </w:rPr>
        <w:t>400 Employees · https://www.biohaven.com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original Biohaven achieved transformative success with Nurtec ODT for migraine, leading to Pfizer's $11.6B acquisition in 2022, but that product belongs to Pfizer; the new BHVN entity has not launched any products independently, and the troriluzole FDA Complete Response Letter in November 2025 represents a material clinical setback [4]. AI Deployment (0/2): Biohaven appointed technology investor John Yetimoglu to its board to advance AI and computational technologies in drug discovery [3], but no AI products are shipping to customers and no quantified AI-driven savings have been reported. Market Share (0/2): Pre-commercial with no approved products generating revenue; zero market share in target indications. Product Pipeline (2/2): Multiple programs advancing with specific H2 2026 catalysts — opakalim pivotal Phase 2/3 RISE3 topline results in epilepsy, BHV-1300 Phase 3 initiated in Graves' disease, BHV-1400 Phase 1b updated data in IgA nephropathy, and taldefgrobep in obesity [1][2]. This is one of the richest binary catalyst calendars in clinical-stage biotech. R&amp;D Intensity (1/1): Virtually all spending is directed toward R&amp;D at $100.8M in Q2 2026, reflecting maximum innovation commitment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Biohaven's mission centers on discovering and delivering life-changing therapies for debilitating diseases — clear and health-focused but broadly interchangeable with dozens of clinical-stage biotechs [3]. The company describes its commitment to 'underserved patients' and 'bold scientific vision,' but the mission has not been validated by commercial execution under the current entity. Community Impact (0/2): No evidence of significant charitable programs, foundations, or community investment despite the company's Sustainability Working Group and ESG commitments [5]. Employee Retention (0/2): Biohaven promotes its 'non-hierarchal culture' allowing 'faster information flow and decision-making,' and CEO Coric is described as a compelling leader, but recent scientific leadership transitions (CSO retirement, new discovery head) and no retention metrics make assessment speculative [3]. Insider Buying (0/2): No evidence of meaningful net insider buying by CEO Coric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limited available metrics reflecting Biohaven's pre-commercial clinical-stage status. The company is essentially pre-revenue with zero product revenue in Q2 2026, while reporting a net loss of $137.3M (narrowed from $198.1M in Q2 2025) and H1 2026 total loss of $267.8M [1][2]. Cash position of $270.5M at June 30, 2026 declined from $347.8M at year-end 2025, with quarterly R&amp;D expenses of $100.8M implying approximately 2 quarters of runway without additional capital raises [1]. D/E of 221% reflects accumulated deficit eroding equity (score 0.34 on 1x weight). ROE is deeply negative at approximately -333% (score 0.0 on 2x growth weight). Profit margin is deeply negative (score 0.0 on 1x weight). Revenue growth, forward PE, and PEG excluded as pre-revenue/pre-profit. Weighted sum 0.34/4.0 max = 0.86, rounds to 1. Daily dollar volume of approximately $36M (2.24M shares x $15.95) clears the $1M liquidity floor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Biohaven is only 3-4 years old in its current form (post-Pfizer spin-off in 2022) and has not had its purpose tested through sustained adversity or leadership transitions. CEO Coric has demonstrated competence rebuilding a pipeline from scratch, and the company's nimble, non-hierarchical culture promotes innovation. However, the troriluzole setback, reactive pivot to obesity, ongoing leadership restructuring, and precarious cash position suggest an organization fighting for survival rather than playing an infinite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Biohaven articulates a cause around life-changing therapies for debilitating diseases, and CEO Coric's 'unwavering commitment to underserved patients' is genuine [3]. However, the current entity has existed only 3-4 years since the Pfizer spin-off and has yet to deliver an approved product to validate this purpose. The troriluzole FDA rejection tested the organization, and the pivot to obesity suggests the cause is fungible — following commercial opportunity rather than an enduring vision [4].</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Biohaven's decentralized, non-hierarchical culture explicitly promotes faster information flow and cross-functional collaboration, with 'motivated professionals sharing diverse perspectives' [3]. CEO Coric's leadership style emphasizes entrepreneurial agility. However, recent scientific leadership transitions (CSO Bruce Car retiring, David Pirman promoted to head discovery), combined with an employee base of only ~400 and no retention data, make it impossible to confirm above-average trust beyond the organizational design philosophy.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Biohaven's competitive positioning in obesity (against Lilly's tirzepatide, Novo Nordisk's semaglutide) and epilepsy focuses on differentiated mechanisms of action rather than acknowledging competitors' strengths as motivation for self-improvement [2]. The company frames competition in scientific superiority terms, not as an opportunity for mutual learning.</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The current Biohaven was created by Pfizer's acquisition — the spin-off was driven by Pfizer's offer, not a strategic reinvention choice [4]. The troriluzole FDA rejection forced a reactive pivot to obesity and expanded indications, but this adaptation was born of regulatory failure rather than proactive cause-driven transformation. The company is too young and pre-commercial to have demonstrated willingness to abandon a profitable direction in service of a larger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Coric demonstrated courage rebuilding a pipeline from scratch post-Pfizer spin-off, investing $100.8M per quarter in R&amp;D despite having zero revenue, and initiating the BHV-1300 Phase 3 trial in Graves' disease while simultaneously advancing opakalim pivotal data readout and taldefgrobep obesity program [1][2]. The breadth of simultaneous clinical bets with $270.5M in cash reflects conviction, though it borders on recklessness given the funding math.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Biohaven offers a high-risk, high-reward pipeline play with multiple H2 2026 clinical catalysts that could significantly re-rate the stock from $15.95. Opakalim Phase 2/3 RISE3 pivotal topline results in epilepsy (selective Kv7 activator with differentiated mechanism), BHV-1300 Phase 3 initiation in Graves' disease, and taldefgrobep Phase 2 obesity data (targeting high-quality weight loss with lean muscle preservation) represent binary events with significant upside potential [1][2]. Q2 2026 net loss narrowed 31% YoY to $137.3M from $198.1M, showing improving cost discipline [1]. The analyst consensus price target implies meaningful upside, and the decentralized innovation culture under CEO Coric has rebuilt a competitive pipeline just 3-4 years after the Pfizer spin-off. Inspire Impact Score of 26 (ALIGNED) with zero negative attributions reflects responsible pharma practices.</w:t>
      </w:r>
    </w:p>
    <w:p>
      <w:pPr>
        <w:spacing w:after="120"/>
      </w:pPr>
      <w:r>
        <w:rPr>
          <w:rFonts w:ascii="Calibri" w:hAnsi="Calibri"/>
          <w:b w:val="0"/>
          <w:color w:val="3A4A28"/>
          <w:sz w:val="20"/>
        </w:rPr>
        <w:t>The fundamental challenge is existential: Biohaven has $270.5M in cash at June 30, 2026 against quarterly R&amp;D expenses of $100.8M and an H1 2026 total loss of $267.8M — implying approximately 2 quarters of runway without dilutive capital raises [1][2]. The D/E of 221% reflects accumulated losses that have severely eroded equity, and ROE of approximately -333% underscores the depth of the pre-commercial cash burn. The troriluzole FDA Complete Response Letter eliminated the most advanced pipeline program, and the obesity pivot places Biohaven against Lilly and Novo Nordisk — incumbents with vastly superior commercial infrastructure and financial resources [4]. The binary nature of H2 2026 catalysts means negative data from opakalim or taldefgrobep could trigger severe declines in a $2.3B market cap company with zero revenue cushion. Even with positive data, commercialization will require years and significant additional capital.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Opakalim Phase 2/3 RISE3 pivotal topline results in H2 2026 for drug-resistant epilepsy — positive data would validate a differentiated Kv7 mechanism and create a path to the first novel anti-seizure mechanism in over a decade [1][2]</w:t>
      </w:r>
    </w:p>
    <w:p>
      <w:pPr>
        <w:spacing w:before="40" w:after="40"/>
        <w:ind w:left="283"/>
      </w:pPr>
      <w:r>
        <w:rPr>
          <w:rFonts w:ascii="Calibri" w:hAnsi="Calibri"/>
          <w:b/>
          <w:color w:val="4A6B25"/>
          <w:sz w:val="20"/>
        </w:rPr>
        <w:t xml:space="preserve">2. </w:t>
      </w:r>
      <w:r>
        <w:rPr>
          <w:rFonts w:ascii="Calibri" w:hAnsi="Calibri"/>
          <w:b w:val="0"/>
          <w:color w:val="3A4A28"/>
          <w:sz w:val="20"/>
        </w:rPr>
        <w:t>BHV-1300 Phase 3 initiated in Graves' disease using novel IgG MoDE degrader platform, expanding the extracellular protein degrader franchise into autoimmune indications with high unmet need [1]</w:t>
      </w:r>
    </w:p>
    <w:p>
      <w:pPr>
        <w:spacing w:before="40" w:after="40"/>
        <w:ind w:left="283"/>
      </w:pPr>
      <w:r>
        <w:rPr>
          <w:rFonts w:ascii="Calibri" w:hAnsi="Calibri"/>
          <w:b/>
          <w:color w:val="4A6B25"/>
          <w:sz w:val="20"/>
        </w:rPr>
        <w:t xml:space="preserve">3. </w:t>
      </w:r>
      <w:r>
        <w:rPr>
          <w:rFonts w:ascii="Calibri" w:hAnsi="Calibri"/>
          <w:b w:val="0"/>
          <w:color w:val="3A4A28"/>
          <w:sz w:val="20"/>
        </w:rPr>
        <w:t>Taldefgrobep Phase 2 obesity data in H2 2026 — myostatin inhibitor targeting fat reduction plus lean muscle preservation could differentiate against GLP-1 agonists that cause muscle wasting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runway of approximately 2 quarters ($270.5M cash against ~$134M quarterly burn) makes dilutive equity raises imminent, likely compressing per-share value at a critical juncture before pivotal data readouts [1][2]</w:t>
      </w:r>
    </w:p>
    <w:p>
      <w:pPr>
        <w:spacing w:before="40" w:after="40"/>
        <w:ind w:left="283"/>
      </w:pPr>
      <w:r>
        <w:rPr>
          <w:rFonts w:ascii="Calibri" w:hAnsi="Calibri"/>
          <w:b/>
          <w:color w:val="4A6B25"/>
          <w:sz w:val="20"/>
        </w:rPr>
        <w:t xml:space="preserve">2. </w:t>
      </w:r>
      <w:r>
        <w:rPr>
          <w:rFonts w:ascii="Calibri" w:hAnsi="Calibri"/>
          <w:b w:val="0"/>
          <w:color w:val="3A4A28"/>
          <w:sz w:val="20"/>
        </w:rPr>
        <w:t>Binary clinical risk across all H2 2026 catalysts — negative opakalim or taldefgrobep data would eliminate key value drivers with zero commercial revenue to cushion the impact, in a company with $2.3B market cap</w:t>
      </w:r>
    </w:p>
    <w:p>
      <w:pPr>
        <w:spacing w:before="40" w:after="40"/>
        <w:ind w:left="283"/>
      </w:pPr>
      <w:r>
        <w:rPr>
          <w:rFonts w:ascii="Calibri" w:hAnsi="Calibri"/>
          <w:b/>
          <w:color w:val="4A6B25"/>
          <w:sz w:val="20"/>
        </w:rPr>
        <w:t xml:space="preserve">3. </w:t>
      </w:r>
      <w:r>
        <w:rPr>
          <w:rFonts w:ascii="Calibri" w:hAnsi="Calibri"/>
          <w:b w:val="0"/>
          <w:color w:val="3A4A28"/>
          <w:sz w:val="20"/>
        </w:rPr>
        <w:t>Obesity market competition against Lilly's tirzepatide and Novo Nordisk's semaglutide incumbents with $50B+ combined commercial infrastructure makes taldefgrobep commercialization path uncertain even with positive Phase 2 data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Biohaven's core business of developing physical small-molecule and biologic therapeutics for neurological and immunological diseases is structurally protected from AI displacement — patients with epilepsy, obesity, IgA nephropathy, and Graves' disease require physical drug interventions that AI cannot substitute [2]. The drug development process involves FDA-regulated clinical trials, complex chemistry manufacturing, and physician prescribing relationships creating natural barriers. However, AI could accelerate competitor drug discovery, potentially shortening Biohaven's competitive advantages in pipeline assets, and larger competitors like Lilly and Novo Nordisk have vastly greater AI/ML resources. AI Opportunity (0/1): Biohaven appointed technology investor John Yetimoglu to its board to expand AI and computational technologies across drug discovery [3], but no AI products generate revenue and no quantified AI-driven financial impact has been reported.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26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Biohaven Q2 2026 Financial Results — net loss $137.3M (narrowed from $198.1M YoY), R&amp;D $100.8M, cash $270.5M, H1 loss $267.8M, July 2026</w:t>
      </w:r>
    </w:p>
    <w:p>
      <w:pPr>
        <w:spacing w:before="20" w:after="20"/>
        <w:ind w:left="170"/>
      </w:pPr>
      <w:r>
        <w:rPr>
          <w:rFonts w:ascii="Calibri" w:hAnsi="Calibri"/>
          <w:b/>
          <w:color w:val="4A6B25"/>
          <w:sz w:val="15"/>
        </w:rPr>
        <w:t xml:space="preserve">2. </w:t>
      </w:r>
      <w:r>
        <w:rPr>
          <w:rFonts w:ascii="Calibri" w:hAnsi="Calibri"/>
          <w:b w:val="0"/>
          <w:color w:val="3A4A28"/>
          <w:sz w:val="17"/>
        </w:rPr>
        <w:t>Biohaven Pipeline Update — BHV-1300 Phase 3 Graves' disease initiated, opakalim RISE3 Phase 2/3 H2 2026, BHV-1400 IgA nephropathy Phase 1b data, 2026</w:t>
      </w:r>
    </w:p>
    <w:p>
      <w:pPr>
        <w:spacing w:before="20" w:after="20"/>
        <w:ind w:left="170"/>
      </w:pPr>
      <w:r>
        <w:rPr>
          <w:rFonts w:ascii="Calibri" w:hAnsi="Calibri"/>
          <w:b/>
          <w:color w:val="4A6B25"/>
          <w:sz w:val="15"/>
        </w:rPr>
        <w:t xml:space="preserve">3. </w:t>
      </w:r>
      <w:r>
        <w:rPr>
          <w:rFonts w:ascii="Calibri" w:hAnsi="Calibri"/>
          <w:b w:val="0"/>
          <w:color w:val="3A4A28"/>
          <w:sz w:val="17"/>
        </w:rPr>
        <w:t>Biohaven Leadership, Culture, and AI Board Appointment — CEO Coric profile, John Yetimoglu AI strategy board appointment, company website, 2026</w:t>
      </w:r>
    </w:p>
    <w:p>
      <w:pPr>
        <w:spacing w:before="20" w:after="20"/>
        <w:ind w:left="170"/>
      </w:pPr>
      <w:r>
        <w:rPr>
          <w:rFonts w:ascii="Calibri" w:hAnsi="Calibri"/>
          <w:b/>
          <w:color w:val="4A6B25"/>
          <w:sz w:val="15"/>
        </w:rPr>
        <w:t xml:space="preserve">4. </w:t>
      </w:r>
      <w:r>
        <w:rPr>
          <w:rFonts w:ascii="Calibri" w:hAnsi="Calibri"/>
          <w:b w:val="0"/>
          <w:color w:val="3A4A28"/>
          <w:sz w:val="17"/>
        </w:rPr>
        <w:t>Biohaven Troriluzole FDA Complete Response Letter — spinocerebellar ataxia CRL, November 2025</w:t>
      </w:r>
    </w:p>
    <w:p>
      <w:pPr>
        <w:spacing w:before="20" w:after="20"/>
        <w:ind w:left="170"/>
      </w:pPr>
      <w:r>
        <w:rPr>
          <w:rFonts w:ascii="Calibri" w:hAnsi="Calibri"/>
          <w:b/>
          <w:color w:val="4A6B25"/>
          <w:sz w:val="15"/>
        </w:rPr>
        <w:t xml:space="preserve">5. </w:t>
      </w:r>
      <w:r>
        <w:rPr>
          <w:rFonts w:ascii="Calibri" w:hAnsi="Calibri"/>
          <w:b w:val="0"/>
          <w:color w:val="3A4A28"/>
          <w:sz w:val="17"/>
        </w:rPr>
        <w:t>Biohaven ESG Practices Update and Sustainability Working Group — PRNewswire, company website, 2021-2026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BHVN key statistics, D/E 221%, market cap $2.31B,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