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BITF</w:t>
      </w:r>
      <w:r>
        <w:rPr>
          <w:rFonts w:ascii="Calibri" w:hAnsi="Calibri"/>
          <w:b/>
          <w:color w:val="1A2010"/>
          <w:sz w:val="40"/>
        </w:rPr>
        <w:t xml:space="preserve">  Bitfarms Ltd. (Keel Infrastructure)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Information Technology Services · NGM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Bitfarms, redomiciled to the US and rebranded Keel Infrastructure around April 2026, is a bitcoin miner winding down mining over about two years to pivot to HPC and AI infrastructure. FY2025 revenue was $229M (+72%), but Q1 2026 revenue fell 23% YoY to $37.0M [1]. Yahoo data under BITF is unavailable, so metrics use the KEEL listing.</w:t>
      </w:r>
    </w:p>
    <w:p>
      <w:r>
        <w:rPr>
          <w:rFonts w:ascii="Calibri" w:hAnsi="Calibri"/>
          <w:b/>
          <w:color w:val="6E8450"/>
          <w:sz w:val="18"/>
        </w:rPr>
        <w:t>https://www.keelinfra.com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announced a gradual wind-down of bitcoin mining to pivot to HPC and AI infrastructure, plus energy and heat-recycling diversification, a significant strategic pivot not yet proven in revenue [2]. AI Deployment (1/2): AI/HPC is under development, not yet shipping at scale. Market Share (0/2): a mid-tier miner without share leadership. Pipeline (1/2): US HPC/AI sites are being developed but no dated revenue visibility was found. R&amp;D Intensity (0/1): no R&amp;D disclosed.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purpose is oriented around digital infrastructure and returns and has changed with the pivot [2]. Community Impact (0/2): no specific programs found; ESG appears as a risk-factor disclosure [3]. Employee Retention (0/2): little Glassdoor data (4 reviews) with mixed management feedback [2]. Insider Buying (0/2): no evidence of net insider buying.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Scored as a Growth stock using the KEEL listing. D/E of 316% (0), ROE of -75.6% (0, 2x), profit margin of -231% (0), revenue growth of -50% YoY (0) and negative forward P/E (0) all hit floors [1]. Only the roughly 35% 5-year revenue CAGR (1.0, 2x; $69M in 2021 to $229M in 2025) scores. PEG unavailable and excluded. Weighted score 2.0 of 8 equals 2.5, rounded up to 3. Daily dollar volume of about $121M passes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Bitfarms is executing a genuine strategic reinvention from bitcoin mining to AI infrastructure, which shows existential flexibility, but the pivot is driven by economics rather than a lasting cause, and the company has no articulated Just Cause beyond digital infrastructure growth.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articulated vision of a better future; the business exists to monetize power and compute and changed direction with market economics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Great Place to Work certification (75% great place) and a collaborative family culture, offset by reactive management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commentary found on learning from competitors.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pivoting from bitcoin mining to HPC/AI infrastructure and rebranding as Keel Infrastructure redefines the company [1][2].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committing to wind down profitable-in-cycle mining over about two years to build HPC/AI is a costly long-term bet, though financing pressures were a driver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Bitfarms (now Keel Infrastructure) at $3.62 is a levered option on AI power infrastructure. FY2025 revenue rose 72% to $229M, power-secured North American sites are being redirected from bitcoin to HPC/AI, and management added US data-center experts to the leadership team [1][2]. If sites are leased at hyperscaler-grade contracts, the market could re-rate the company from miner to infrastructure owner.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execution and balance sheet: Q1 2026 revenue fell 23% YoY to $37.0M, TTM revenue growth is -50% per Yahoo, the profit margin is -231%, D/E is 316% and ROE is -75.6% [1]. Analysts trimmed revenue forecasts, and management lists limited HPC/AI experience as a risk factor [2]. Winding down mining removes cash flow before HPC revenue exists, so dilution or more debt is likely.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Signing of HPC/AI tenant leases on converted power sites, providing contracted revenue visibility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Redomiciliation and Keel Infrastructure rebrand attracting infrastructure-oriented investors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Added US data-center leadership expertise to execute the HPC build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Revenue gap during the pivot: Q1 2026 revenue -23% YoY and mining wind-down before HPC revenue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Leverage of 316% D/E and negative ROE of -75.6% raise financing and dilution risk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Management's limited AI/HPC experience and competition from established data-center developers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HPC and AI data-center hosting is demand-side infrastructure that AI increases, and power-secured sites are scarce; a bitcoin miner is not threatened by AI. Management lists limited AI/HPC experience as a risk, and security from AI adoption is a concern [2]. AI Opportunity (0/1): no meaningful AI revenue yet; revenue is still bitcoin mining.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Bitfarms Q1 2026 and FY2025 Results — SEC 6-K, StockTitan, Alphastreet,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Bitfarms leadership and strategy — Bitfarms.com, Bitcoin Magazine, Glassdoor,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Bitfarms FY2025 Form 10-K risk factors (ESG) — SEC,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KEEL key statistics (BITF successor),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