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BKD</w:t>
      </w:r>
      <w:r>
        <w:rPr>
          <w:rFonts w:ascii="Calibri" w:hAnsi="Calibri"/>
          <w:b/>
          <w:color w:val="1A2010"/>
          <w:sz w:val="40"/>
        </w:rPr>
        <w:t xml:space="preserve">  Brookdale Senior Living Inc.</w:t>
      </w:r>
    </w:p>
    <w:p>
      <w:pPr>
        <w:spacing w:after="120"/>
      </w:pPr>
      <w:r>
        <w:rPr>
          <w:rFonts w:ascii="Calibri" w:hAnsi="Calibri"/>
          <w:b/>
          <w:color w:val="6E8450"/>
          <w:sz w:val="18"/>
        </w:rPr>
        <w:t>GROWTH SLEEVE · 2026-10-17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Brookdale Senior Living is the largest operator of senior living communities in the United States, operating 500+ communities across independent living, assisted living, memory care, and continuing care retirement. Headquartered in Brentwood, Tennessee. Under CEO Nikolas W. Stengle (since October 2025), the company is executing portfolio optimization and occupancy recovery. Q2 2026 occupancy reached 82.4% (+230 bps YoY) with RevPAR growth of 8.2%, net income of $23M (vs. -$43M loss YoY), and Adjusted EBITDA of $122M (+4.3%). Full-year 2026 guidance: 8-9% RevPAR growth, $502-516M Adjusted EBITDA. All 2027 maturities refinanced.</w:t>
      </w:r>
    </w:p>
    <w:p>
      <w:r>
        <w:rPr>
          <w:rFonts w:ascii="Calibri" w:hAnsi="Calibri"/>
          <w:b/>
          <w:color w:val="6E8450"/>
          <w:sz w:val="18"/>
        </w:rPr>
        <w:t>22,440 Employees · https://www.brookdale.com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Nikolas Stengle (since October 2025) is driving meaningful operational improvement — occupancy rose 230 bps YoY to 82.4% in Q2 2026, and the company is executing portfolio rationalization while strategically acquiring communities ($23.4M Brookdale Galleria, ~$157M 17-community portfolio closing Q4 2026) [1][2]. This represents significant operational transformation, but is restructuring and optimization rather than product or business model innovation. AI Deployment (1/2): Brookdale has deployed AI-enabled falls detection through WellnessAI using video review in Select Clare Bridge memory care communities and utilizes predictive analytics for resident health monitoring, plus partnered with Mastek for workflow automation and cloud adoption [3]. Shipping deployments with operational impact, though no quantified cost savings disclosed. Market Share (2/2): Brookdale is the largest U.S. senior living operator by community count (500+ communities in 41 states), maintaining clear category leadership in a highly fragmented industry with thousands of smaller operators [1]. No competitor approaches Brookdale's national scale and brand recognition. Product Pipeline (0/2): Guidance for 8-9% RevPAR growth but no next-generation products, technology platforms, or service innovations with specific launch dates and revenue visibility. R&amp;D Intensity (0/1): No meaningful R&amp;D spend; senior living is a real estate operations and healthcare services business.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Brookdale's purpose centers on empowering seniors to live with dignity, connection, and purpose — clear and identifies what the company does and for whom, but not distinctive or transformative beyond the baseline expectation for the senior living industry [3]. Multiple CEO changes since 2020 suggest the purpose does not anchor long-term strategic decision-making. Community Impact (1/2): Brookdale operates communities serving elderly populations across 41 states, providing essential care services for aging Americans. Energy Star compliance in 500+ communities and ESG integration into corporate strategy [4]. However, a $3.25M California AG settlement over data reporting allegations and a staffing class action lawsuit offset positive ESG contributions. Employee Retention (0/2): The senior living industry faces chronic staffing challenges with high frontline caregiver turnover. No specific retention data or evidence of above-average workforce stability was found for Brookdale's 22,440 employees [3]. Insider Buying (0/2): No evidence of meaningful net insider buying by CEO Stengle or other executives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D/E excluded (negative stockholders' equity, book value -$0.12/share) and $5.49B total debt against $390M cash [5]. ROE of -349.6% scores 0.0 (2x weight), reflecting deeply negative equity from accumulated losses. Revenue growth is negative: YoY of -8.9% scores 0.37, driven by community dispositions reducing reported revenue despite same-store RevPAR growth of 8.2%, and 5-year CAGR of approximately 0% scores 0.33 (2x weight) [1]. Forward P/E of 84.08 on forward EPS of just $0.12 exceeds the 60 floor and scores 0.0 — the company is barely reaching profitability. Profit margin of -4.72% scores 0.0. The primary positive is the Forward PEG of 0.28 (score 1.0, 2x weight), which reflects enormous expected EPS growth from a near-zero base as the company transitions from losses to breakeven [5]. Q2 2026 net income of $23M (vs. -$43M loss YoY) and Adjusted EBITDA of $122M (+4.3%) demonstrate improving fundamentals beneath the distressed headline metrics [1]. Daily dollar volume of ~$51M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Brookdale's position as the largest U.S. senior living operator serving an aging population suggests a natural infinite game orientation — the need for senior care will persist indefinitely and intensify as Baby Boomers age. However, the company's history of CEO turnover, financial distress, negative equity, and reactive portfolio restructuring reveals finite-game pressures dominating strategic decisions. The current transformation under CEO Stengle shows improving operational metrics (occupancy 82.4%, RevPAR +8.2%, Q2 net income $23M) but remains early-stage, and the $5.49B debt burden constrains truly long-term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Brookdale has a purpose around empowering seniors to live with dignity and connection, but it reads as standard industry marketing rather than a deeply held cause that drives difficult strategic decisions [3]. The company has cycled through multiple CEOs — most recently installing Nikolas Stengle in October 2025 — and has pursued shifting strategies (expansion, contraction, management contracts, ownership), suggesting the purpose does not anchor long-term decision-making. A true Just Cause would provide continuity through leadership transitions, and Brookdale's pivots appear driven by financial necessity rather than mission conviction.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to Nikolas Stengle was orderly, with new C-suite hires including a Chief Sales Officer demonstrating deliberate leadership team building [2]. The company's ability to maintain operations across 500+ communities during leadership transitions demonstrates organizational resilience. Chief Growth Officer Ryan Wilson cited technology and innovation as key drivers with 'dedicated innovation people and groups' within the company [3]. However, senior living faces chronic staffing challenges with high frontline caregiver turnover, and no specific employee satisfaction or retention data distinguishes Brookdale from industry averages.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Management's focus on RevPAR growth, occupancy improvement, and operational excellence metrics reflects a quality-oriented competitive posture rather than pursuing scale dominance at any cost [1]. The willingness to sell communities to reach 'fighting weight' — shrinking the portfolio to improve average quality and occupancy — rather than clinging to the 'largest operator' title demonstrates competitive self-awareness that values operational excellence over vanity metrics.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Brookdale's portfolio rationalization represents a meaningful strategic shift — downsizing from peak community count to focus on higher-quality, owned communities, with 99 communities now above 95% occupancy [1][2]. The transition from a scale-at-all-costs model to a quality-focused ownership model, combined with strategic reacquisition of select properties, reshapes the business structure. However, the core business model — operating senior living communities — remains unchanged, and the restructuring was driven by financial distress and leverage constraints rather than visionary reimagination.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CEO Stengle, Brookdale is executing portfolio rationalization while simultaneously acquiring strategic communities ($23.4M Brookdale Galleria, ~$157M 17-community portfolio) and maintaining 8-9% RevPAR growth guidance [1][2]. The company proactively refinanced all 2027 maturities, eliminating near-term debt maturity risk and improving financial flexibility. However, both the dispositions and refinancing were arguably forced by balance sheet constraints rather than proactive strategic choice, and the $5.49B debt burden limits truly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Brookdale Senior Living at $10.09 with a $2.4B market cap offers a demographic-driven turnaround thesis anchored by the most powerful secular trend in U.S. healthcare — Baby Boomers turning 80+ over the next decade [1]. As the largest U.S. senior living operator with 500+ communities, Brookdale is positioned to capture accelerating demand with occupancy recovering to 82.4% (+230 bps YoY), RevPAR growing 8.2%, and Q2 2026 net income of $23M versus a -$43M loss a year earlier [1]. The profitability inflection is materializing — Adjusted EBITDA reached $122M in Q2 (+4.3%) with full-year guidance of $502-516M, and all 2027 debt maturities have been refinanced. AI resilience is exceptionally strong at 8/10 — hands-on caregiving for elderly residents is one of the most AI-immune business models in the economy. The Inspire Impact Score of 31 (ALIGNED) adds appeal for faith-based investors.</w:t>
      </w:r>
    </w:p>
    <w:p>
      <w:pPr>
        <w:spacing w:after="120"/>
      </w:pPr>
      <w:r>
        <w:rPr>
          <w:rFonts w:ascii="Calibri" w:hAnsi="Calibri"/>
          <w:b w:val="0"/>
          <w:color w:val="3A4A28"/>
          <w:sz w:val="20"/>
        </w:rPr>
        <w:t>The bear case is dominated by balance sheet risk and the long road to sustained GAAP profitability. Total debt of $5.49B against negative stockholders' equity (-$0.12/share book value) and $390M in cash places Brookdale in financially distressed territory [5]. The company remains near breakeven with -4.72% profit margin and forward P/E of 84x on just $0.12 expected EPS, making traditional valuation nearly impossible. Revenue declined 11.6% YoY in Q2 2026 to $718.6M as community dispositions shrink the portfolio, and the 5-year revenue CAGR of approximately 0% indicates the company has failed to translate demographic tailwinds into revenue growth despite an aging population [1][5]. The stock's 16.7% decline from $12.12 to $10.09 since August 2026 reflects market skepticism about the turnaround trajectory. The senior living industry faces structural headwinds including chronic labor shortages driving wage inflation, rising insurance costs, and regulatory burden. CEO Stengle is the latest in a series of leadership changes, and many communities remain below optimal occupancy levels. Interest expense on $5.49B in debt consumes significant cash flow, and until Brookdale achieves sustained deleveraging and GAAP profitability, the equity remains speculative.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occupancy recovery toward 85%+ as Baby Boomer demand intensifies, with 99 communities already above 95% occupancy and management guiding 8-9% full-year RevPAR growth with strong Q3-Q4 seasonality expected [1]</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 Q2 2026 net income of $23M (vs. -$43M loss YoY) and Adjusted EBITDA guided to $502-516M for full year suggest the company is reaching an earnings inflection point [1]</w:t>
      </w:r>
    </w:p>
    <w:p>
      <w:pPr>
        <w:spacing w:before="40" w:after="40"/>
        <w:ind w:left="283"/>
      </w:pPr>
      <w:r>
        <w:rPr>
          <w:rFonts w:ascii="Calibri" w:hAnsi="Calibri"/>
          <w:b/>
          <w:color w:val="4A6B25"/>
          <w:sz w:val="20"/>
        </w:rPr>
        <w:t xml:space="preserve">3. </w:t>
      </w:r>
      <w:r>
        <w:rPr>
          <w:rFonts w:ascii="Calibri" w:hAnsi="Calibri"/>
          <w:b w:val="0"/>
          <w:color w:val="3A4A28"/>
          <w:sz w:val="20"/>
        </w:rPr>
        <w:t>Balance sheet de-risking with all 2027 maturities refinanced (no near-term debt maturities until 2028) and strategic portfolio acquisitions (~$157M 17-community portfolio, closing Q4 2026) adding scale in targeted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with $5.49B total debt, negative equity, and $390M cash creates existential refinancing risk — any disruption in credit markets or deterioration in operating performance could trigger covenant violations or liquidity crisis [5]</w:t>
      </w:r>
    </w:p>
    <w:p>
      <w:pPr>
        <w:spacing w:before="40" w:after="40"/>
        <w:ind w:left="283"/>
      </w:pPr>
      <w:r>
        <w:rPr>
          <w:rFonts w:ascii="Calibri" w:hAnsi="Calibri"/>
          <w:b/>
          <w:color w:val="4A6B25"/>
          <w:sz w:val="20"/>
        </w:rPr>
        <w:t xml:space="preserve">2. </w:t>
      </w:r>
      <w:r>
        <w:rPr>
          <w:rFonts w:ascii="Calibri" w:hAnsi="Calibri"/>
          <w:b w:val="0"/>
          <w:color w:val="3A4A28"/>
          <w:sz w:val="20"/>
        </w:rPr>
        <w:t>Chronic labor shortages and wage inflation in senior living caregiving threaten margin recovery — the 22,440-employee workforce competes for the same healthcare workers as hospitals and home health agencies in a structurally tight labor market</w:t>
      </w:r>
    </w:p>
    <w:p>
      <w:pPr>
        <w:spacing w:before="40" w:after="40"/>
        <w:ind w:left="283"/>
      </w:pPr>
      <w:r>
        <w:rPr>
          <w:rFonts w:ascii="Calibri" w:hAnsi="Calibri"/>
          <w:b/>
          <w:color w:val="4A6B25"/>
          <w:sz w:val="20"/>
        </w:rPr>
        <w:t xml:space="preserve">3. </w:t>
      </w:r>
      <w:r>
        <w:rPr>
          <w:rFonts w:ascii="Calibri" w:hAnsi="Calibri"/>
          <w:b w:val="0"/>
          <w:color w:val="3A4A28"/>
          <w:sz w:val="20"/>
        </w:rPr>
        <w:t>Revenue continues declining (-8.9% YoY in Q2, -11.6% in Q2 per earnings release) due to portfolio dispositions, with 5-year revenue CAGR of ~0% indicating the company has failed to translate demographic tailwinds into top-line growth despite improving per-unit metrics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 Senior living is an inherently physical, hands-on, regulated healthcare service that faces virtually no AI substitution risk. AI cannot replace direct caregiving, assisted living support, memory care supervision, medication administration, or the physical infrastructure required to operate retirement communities [1]. The core value proposition — providing safe, comfortable living environments with trained staff for elderly residents who need daily assistance — requires human presence, empathy, and physical interaction that AI cannot replicate. An aging U.S. population with Baby Boomers turning 80+ creates secular demand tailwinds regardless of AI developments. Regulatory requirements for staffing ratios, care standards, and facility licensing create additional structural protection. AI is deployed as an enabler (falls detection, predictive health analytics, workflow automation via Mastek) rather than a substitute for the core service [3]. AI Opportunity (0/1): AI deployments (WellnessAI falls detection, predictive analytics) are operational efficiency tools rather than revenue-generating AI products; no quantifiable AI revenue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Brookdale Senior Living Q2 2026 Earnings — Revenue $718.6M (-11.6% YoY from dispositions), Net Income $23M (vs. -$43M loss), Adj. EBITDA $122M (+4.3%), Occupancy 82.4% (+230 bps), RevPAR +8.2%, All 2027 maturities refinanced, August 2026</w:t>
      </w:r>
    </w:p>
    <w:p>
      <w:pPr>
        <w:spacing w:before="20" w:after="20"/>
        <w:ind w:left="170"/>
      </w:pPr>
      <w:r>
        <w:rPr>
          <w:rFonts w:ascii="Calibri" w:hAnsi="Calibri"/>
          <w:b/>
          <w:color w:val="4A6B25"/>
          <w:sz w:val="15"/>
        </w:rPr>
        <w:t xml:space="preserve">2. </w:t>
      </w:r>
      <w:r>
        <w:rPr>
          <w:rFonts w:ascii="Calibri" w:hAnsi="Calibri"/>
          <w:b w:val="0"/>
          <w:color w:val="3A4A28"/>
          <w:sz w:val="17"/>
        </w:rPr>
        <w:t>Brookdale Strategic Acquisitions and Portfolio — Brookdale Galleria ($23.4M, 244 units), 17-Community Portfolio (~$157M, 735 units closing Q4), CEO Nikolas Stengle (Oct 2025), SEC Filings 2025-2026</w:t>
      </w:r>
    </w:p>
    <w:p>
      <w:pPr>
        <w:spacing w:before="20" w:after="20"/>
        <w:ind w:left="170"/>
      </w:pPr>
      <w:r>
        <w:rPr>
          <w:rFonts w:ascii="Calibri" w:hAnsi="Calibri"/>
          <w:b/>
          <w:color w:val="4A6B25"/>
          <w:sz w:val="15"/>
        </w:rPr>
        <w:t xml:space="preserve">3. </w:t>
      </w:r>
      <w:r>
        <w:rPr>
          <w:rFonts w:ascii="Calibri" w:hAnsi="Calibri"/>
          <w:b w:val="0"/>
          <w:color w:val="3A4A28"/>
          <w:sz w:val="17"/>
        </w:rPr>
        <w:t>Brookdale Senior Living Operations and Innovation — WellnessAI falls detection, Mastek workflow partnership, Chief Growth Officer Ryan Wilson on tech and innovation, Energy Star 500+ communities, brookdale.com</w:t>
      </w:r>
    </w:p>
    <w:p>
      <w:pPr>
        <w:spacing w:before="20" w:after="20"/>
        <w:ind w:left="170"/>
      </w:pPr>
      <w:r>
        <w:rPr>
          <w:rFonts w:ascii="Calibri" w:hAnsi="Calibri"/>
          <w:b/>
          <w:color w:val="4A6B25"/>
          <w:sz w:val="15"/>
        </w:rPr>
        <w:t xml:space="preserve">4. </w:t>
      </w:r>
      <w:r>
        <w:rPr>
          <w:rFonts w:ascii="Calibri" w:hAnsi="Calibri"/>
          <w:b w:val="0"/>
          <w:color w:val="3A4A28"/>
          <w:sz w:val="17"/>
        </w:rPr>
        <w:t>Brookdale ESG and Governance — $3.25M California AG settlement (2022), Staffing class action, Sustainalytics ESG Risk Rating, Land &amp; Buildings activism, ESG Report 2022</w:t>
      </w:r>
    </w:p>
    <w:p>
      <w:pPr>
        <w:spacing w:before="20" w:after="20"/>
        <w:ind w:left="170"/>
      </w:pPr>
      <w:r>
        <w:rPr>
          <w:rFonts w:ascii="Calibri" w:hAnsi="Calibri"/>
          <w:b/>
          <w:color w:val="4A6B25"/>
          <w:sz w:val="15"/>
        </w:rPr>
        <w:t xml:space="preserve">5. </w:t>
      </w:r>
      <w:r>
        <w:rPr>
          <w:rFonts w:ascii="Calibri" w:hAnsi="Calibri"/>
          <w:b w:val="0"/>
          <w:color w:val="3A4A28"/>
          <w:sz w:val="17"/>
        </w:rPr>
        <w:t>Yahoo Finance — BKD Key Statistics: Price $10.09, Forward P/E 84.08, PEG 0.28, ROE -349.6%, Profit Margin -4.72%, Total Debt $5.49B, Cash $390M, Avg Volume 5.1M,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