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BK</w:t>
      </w:r>
      <w:r>
        <w:rPr>
          <w:rFonts w:ascii="Calibri" w:hAnsi="Calibri"/>
          <w:b/>
          <w:color w:val="1A2010"/>
          <w:sz w:val="40"/>
        </w:rPr>
        <w:t xml:space="preserve">  The Bank of New York Mellon Corporation</w:t>
      </w:r>
    </w:p>
    <w:p>
      <w:pPr>
        <w:spacing w:after="120"/>
      </w:pPr>
      <w:r>
        <w:rPr>
          <w:rFonts w:ascii="Calibri" w:hAnsi="Calibri"/>
          <w:b/>
          <w:color w:val="6E8450"/>
          <w:sz w:val="18"/>
        </w:rPr>
        <w:t>GROWTH SLEEVE · 2026-08-31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&amp; Custody Banks · NYSE · United States</w:t>
      </w:r>
    </w:p>
    <w:p>
      <w:pPr>
        <w:spacing w:after="80"/>
      </w:pPr>
      <w:r>
        <w:rPr>
          <w:rFonts w:ascii="Calibri" w:hAnsi="Calibri"/>
          <w:b w:val="0"/>
          <w:color w:val="3A4A28"/>
          <w:sz w:val="20"/>
        </w:rPr>
        <w:t>The Bank of New York Mellon Corporation is the world's largest custodian bank, with $59.4 trillion in assets under custody/administration and $2.1 trillion in assets under management as of Q1 2026. BNY provides custody, clearing, treasury services, investment management, wealth management, and market infrastructure services to institutional clients worldwide. Under CEO Robin Vince's transformation, BNY has deployed 140 AI-powered agents and restructured into a platform operating model. Founded in 1784 by Alexander Hamilton. Market cap ~$110B.</w:t>
      </w:r>
    </w:p>
    <w:p>
      <w:r>
        <w:rPr>
          <w:rFonts w:ascii="Calibri" w:hAnsi="Calibri"/>
          <w:b/>
          <w:color w:val="6E8450"/>
          <w:sz w:val="18"/>
        </w:rPr>
        <w:t>46,500 Employees · https://www.bny.com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BNY delivered record Q1 2026 revenue of $5.4 billion, up 13% YoY, with EPS of $2.24 (up 42%) under CEO Robin Vince's technology-driven transformation that has repositioned the company from a legacy custodian to an AI-enhanced financial infrastructure platform [1]. The platform operating model restructuring represents a genuine business transformation, with more than 800 basis points of positive operating leverage in Q1 2026. AI Deployment (2/2): BNY has deployed approximately 140 AI-powered agents across the organization, each designed with specific capabilities mirroring human staff responsibilities [3]. The company's enterprise AI platform (Eliza) integrates advanced AI models into custody, payments, and wealth management workflows with governance protocols and audit trails embedded into every deployment. CEO Vince describes AI as creating capacity for knowledge-based work that drives positive operating leverage [3]. Market Share (2/2): BNY is the world's largest custodian bank with $59.4 trillion in AUC/A — an unmatched global market position that grew from $52.1 trillion a year earlier, with deep client switching costs and network effects that define the securities servicing category [1]. Product Pipeline (1/2): AI platform expansion, digital asset capabilities, and Eliza platform integration are in development, but no specific next-generation products were announced with launch dates or revenue projections beyond continued AI integration. R&amp;D Intensity (1/1): BNY's technology investment under Vince's leadership (former Goldman Sachs technology executive with 26 years at the firm) exceeds custodian bank peers, with significant investment in cloud infrastructure, AI agents, and digital platforms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BNY's three strategic pillars — 'being more for clients, running the company better, and powering culture' — are clear corporate strategy frameworks but do not articulate a distinctive purpose beyond operational excellence [2]. The 240+ year history dating to Alexander Hamilton's founding adds institutional weight, and CEO Vince's emphasis on BNY as 'connecting the financial world' and being 'the trusted steward of the financial system' elevates the purpose above generic corporate positioning. However, modern public communications emphasize financial performance metrics rather than a transformative vision. Community Impact (1/2): BNY maintains corporate responsibility programs appropriate for a major financial institution with an MSCI ESG AA rating, but no specific dollar amounts for distinctive community investment programs were identified. Employee Retention (0/2): BNY reduced headcount from 48,100 to 46,500 in the past year, suggesting continued organizational restructuring rather than a high-retention culture [5]. No specific retention or tenure data available.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exceptional strength across most metrics, penalized only by high bank-typical leverage. D/E of 937% scores zero, but this reflects standard bank balance sheet structure (deposits and institutional liabilities classified as debt) rather than financial distress — BNY holds $221.6B in cash against $90.1B in total debt, a massive net cash position of $131.5B [5]. ROE of 14.12% approaches the 15% target and is improving, with Q1 2026 ROTCE of 29.3% demonstrating exceptional capital efficiency [1]. Revenue growth YoY of 13% exceeds the 10% target, driven by 11% fee revenue growth and 18% net interest income growth [1]. 5-year revenue CAGR of approximately 6% is solid for a mature financial institution. Forward P/E of 16.91 and PEG of 0.96 both score near full marks, representing compelling value for a company delivering 42% EPS growth [1][5]. Profit margin of 29.41% reflects the high-margin, fee-based nature of custody and servicing revenue. Infrastructure calculation (Growth): D/E 937% (0.0, 1x), ROE 14.12% (0.94, 2x), Rev Growth YoY 13% (1.0, 1x), Rev Growth 5yr CAGR 6% (0.73, 2x), Fwd P/E 16.91 (1.0, 1x), Profit Margin 29.41% (1.0, 1x), PEG 0.96 (1.0, 2x). Weighted sum = 8.35/10 × 10 = 8.4, rounds to 8. Liquidity easily clears: 2.2M avg volume × $162.50 = $361M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BNY demonstrates moderate infinite game characteristics rooted in its extraordinary 240+ year history as America's oldest bank. CEO Robin Vince's platform operating model transformation prioritizes long-term technology capability over short-term cost-cutting, and the company's evolution from commercial bank to global financial infrastructure provider shows genuine existential flexibility. However, strategic language remains focused on financial metrics (operating leverage, ROTCE, EPS growth) rather than an inspiring Just Cause, and workforce reductions suggest the transformation is driven more by efficiency than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BNY's 240+ year history as the custodian of global financial infrastructure is unique — Alexander Hamilton founded the company to power the new nation's financial system [5]. CEO Vince frames the company around 'powering success for the world's leading institutions' and 'connecting the financial world,' but this reads as strategic positioning rather than a Just Cause that inspires sacrifice. The three strategic pillars (be more for clients, run better, power culture) are operationally sound but lack the aspirational quality Sinek requires. The purpose hasn't been tested by choosing principle over profit in any publicly visible way.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BNY's 46,500-person workforce operates under Vince's 'powering culture' strategic pillar, which explicitly recognizes culture as a catalyst for business performance — 'creating the will to go quicker on the others' [2]. Leadership stability is strong and Vince has led a consistent transformation agenda since 2022. However, continued workforce reductions (from 51,800 to 46,500 over 18 months) raise questions about the Circle of Safety. AI deployment of 140 agents designed to mirror human staff responsibilities could create anxiety despite Vince's public statements that AI is a 'jobs creator, not a destroyer'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BNY's competitive communications focus on its dominant market position ($59.4 trillion AUC/A) and record financial results rather than acknowledging competitors' strengths or using competitive pressure for self-improvement [1]. The investor narrative centres on operational superiority rather than humble acknowledgment of what State Street, JPMorgan, or technology companies do better. Vince's approach of innovating 'boldly but carefully' suggests competitive awareness but no specific evidence of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BNY has fundamentally reinvented itself multiple times across 240+ years — from Alexander Hamilton's commercial bank financing the young nation's economy, to a trust company, to the world's largest custodian through the 2007 merger with Mellon Financial, to Vince's current transformation into an AI-enhanced technology platform for financial infrastructure [1][5]. Each evolution represented a fundamental strategic shift driven by changing market needs. The current AI transformation — deploying 140 AI agents and restructuring the operating model around a platform architecture — is the latest manifestation of this institutional adaptability. Few companies in history can match this track record of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Vince's decision to invest heavily in AI integration (140 AI agents via Eliza), restructure the operating model from siloed business lines to a platform architecture, and publicly declare AI a 'jobs creator' while reducing headcount shows willingness to make difficult strategic choices [2][3]. The platform transformation required organizational disruption and embracing digital assets 'boldly but carefully.' However, BNY's massive cash reserves ($221.6B) and dominant market position mean these investments carry relatively low risk — true courage requires sacrifice, and BNY's financial cushion minimizes downside.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BNY delivered record Q1 2026 results — $5.4 billion revenue (up 13% YoY), EPS of $2.24 (up 42%), pre-tax operating margin of 37%, and ROTCE of 29.3% — demonstrating more than 800 basis points of positive operating leverage from CEO Vince's platform transformation [1]. At 16.91x forward P/E with a PEG of 0.96, the stock remains attractively valued for a company with $59.4 trillion AUC/A, a fee-based revenue model with deep client switching costs, and 140 AI agents driving operational efficiency [1][3]. AUC/A grew from $52.1 trillion to $59.4 trillion YoY, fee revenue increased 11% to $3.77B, and net interest income rose 18% to $1.37B [1]. The 25.92% payout ratio on a 1.31% yield provides substantial room for continued dividend growth (15 consecutive years of increases at 8.6% 5-year CAGR), and BNY's 240-year institutional history provides unmatched stability. The stock has appreciated 54.72% over the past year, reflecting the market's recognition of the transformation [5].</w:t>
      </w:r>
    </w:p>
    <w:p>
      <w:pPr>
        <w:spacing w:after="120"/>
      </w:pPr>
      <w:r>
        <w:rPr>
          <w:rFonts w:ascii="Calibri" w:hAnsi="Calibri"/>
          <w:b w:val="0"/>
          <w:color w:val="3A4A28"/>
          <w:sz w:val="20"/>
        </w:rPr>
        <w:t>The bear case centres on bank-typical leverage, valuation stretch after a 55% rally, and cyclical sensitivity. D/E of 937% reflects standard bank balance sheet structure but creates systemic risk exposure during financial crises [5]. BNY's fee-based model is sensitive to market levels — the $59.4 trillion in AUC/A and $2.1 trillion in AUM decline during market downturns, directly compressing fee revenue [1]. At $162.50 per share (up from ~$105 a year ago), the PE ratio of 18.97 prices in significant continued growth — any deceleration from the 13% revenue growth trajectory could trigger multiple compression. The SEC's $1.5 million fine for ESG misstatements in BNY Mellon Investment Adviser (2022) demonstrates regulatory compliance risk [4]. Continued workforce reductions (down to 46,500 from 51,800) suggest the platform transformation may be partly about cost-cutting, and net interest income growth of 18% depends on the rate environment that could shift with aggressive Fed cuts.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platform integration expanding from 140 deployed agents via Eliza — management expects AI benefits to materially accelerate through 2026-2027, driving further operating leverage beyond the 800bps already achieved in Q1, with digital assets strategy providing additional revenue diversification [1][3]</w:t>
      </w:r>
    </w:p>
    <w:p>
      <w:pPr>
        <w:spacing w:before="40" w:after="40"/>
        <w:ind w:left="283"/>
      </w:pPr>
      <w:r>
        <w:rPr>
          <w:rFonts w:ascii="Calibri" w:hAnsi="Calibri"/>
          <w:b/>
          <w:color w:val="4A6B25"/>
          <w:sz w:val="20"/>
        </w:rPr>
        <w:t xml:space="preserve">2. </w:t>
      </w:r>
      <w:r>
        <w:rPr>
          <w:rFonts w:ascii="Calibri" w:hAnsi="Calibri"/>
          <w:b w:val="0"/>
          <w:color w:val="3A4A28"/>
          <w:sz w:val="20"/>
        </w:rPr>
        <w:t>AUC/A growth momentum from $52.1T to $59.4T YoY positions BNY to capture fee revenue growth as global capital markets expand and institutional clients consolidate custodial relationships [1]</w:t>
      </w:r>
    </w:p>
    <w:p>
      <w:pPr>
        <w:spacing w:before="40" w:after="40"/>
        <w:ind w:left="283"/>
      </w:pPr>
      <w:r>
        <w:rPr>
          <w:rFonts w:ascii="Calibri" w:hAnsi="Calibri"/>
          <w:b/>
          <w:color w:val="4A6B25"/>
          <w:sz w:val="20"/>
        </w:rPr>
        <w:t xml:space="preserve">3. </w:t>
      </w:r>
      <w:r>
        <w:rPr>
          <w:rFonts w:ascii="Calibri" w:hAnsi="Calibri"/>
          <w:b w:val="0"/>
          <w:color w:val="3A4A28"/>
          <w:sz w:val="20"/>
        </w:rPr>
        <w:t>Continued capital return — 15 consecutive years of dividend growth, 25.92% payout ratio with substantial headroom for increases, and active share buyback program driving EPS accretion on already strong 42% EPS growth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Market downturn sensitivity — BNY's $59.4T AUC/A and $2.1T AUM are market-level dependent, and a sustained equity bear market would compress fee revenue without proportional cost reduction; the 55% stock price rally increases downside vulnerability [1]</w:t>
      </w:r>
    </w:p>
    <w:p>
      <w:pPr>
        <w:spacing w:before="40" w:after="40"/>
        <w:ind w:left="283"/>
      </w:pPr>
      <w:r>
        <w:rPr>
          <w:rFonts w:ascii="Calibri" w:hAnsi="Calibri"/>
          <w:b/>
          <w:color w:val="4A6B25"/>
          <w:sz w:val="20"/>
        </w:rPr>
        <w:t xml:space="preserve">2. </w:t>
      </w:r>
      <w:r>
        <w:rPr>
          <w:rFonts w:ascii="Calibri" w:hAnsi="Calibri"/>
          <w:b w:val="0"/>
          <w:color w:val="3A4A28"/>
          <w:sz w:val="20"/>
        </w:rPr>
        <w:t>Bank-typical leverage risk — D/E of 937% reflects standard deposit-funded structure but exposes BNY to systemic financial risk during crises, and the $90.1B debt load requires continuous refinancing [5]</w:t>
      </w:r>
    </w:p>
    <w:p>
      <w:pPr>
        <w:spacing w:before="40" w:after="40"/>
        <w:ind w:left="283"/>
      </w:pPr>
      <w:r>
        <w:rPr>
          <w:rFonts w:ascii="Calibri" w:hAnsi="Calibri"/>
          <w:b/>
          <w:color w:val="4A6B25"/>
          <w:sz w:val="20"/>
        </w:rPr>
        <w:t xml:space="preserve">3. </w:t>
      </w:r>
      <w:r>
        <w:rPr>
          <w:rFonts w:ascii="Calibri" w:hAnsi="Calibri"/>
          <w:b w:val="0"/>
          <w:color w:val="3A4A28"/>
          <w:sz w:val="20"/>
        </w:rPr>
        <w:t>Valuation stretch after 55% appreciation in 12 months — PE of 18.97 prices in sustained double-digit growth that may not persist if market conditions normalize or if the platform transformation benefits have already been priced in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BNY's core custody and asset servicing business — holding $59.4 trillion in client assets, processing millions of daily securities transactions, and providing regulatory reporting — is deeply embedded in global financial infrastructure with massive switching costs, regulatory requirements, and institutional trust that AI cannot displace [1]. The custody business requires multi-decade regulatory relationships, real-time settlement capabilities, and counterparty risk management that are structurally protected from AI substitution. However, AI could automate portions of back-office operations, middle-office servicing, and reporting functions, potentially compressing fee revenue if clients demand AI-driven cost savings. AI Opportunity (1/1): BNY has deployed approximately 140 AI-powered agents across the organization via the Eliza platform, with CEO Vince stating AI creates capacity for knowledge-based work generating positive operating leverage [2][3]. The company's massive transaction data sets and institutional relationships create a valuable AI training advantage in financial services, and the enterprise AI platform is generating measurable efficiency gains contributing to 800bps of positive operating leverage in Q1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BNY Mellon Q1 2026 Earnings Release — Record $5.4B revenue (+13%), $2.24 EPS (+42%), $59.4T AUC/A, 37% pre-tax margin, ROTCE 29.3%, April 2026</w:t>
      </w:r>
    </w:p>
    <w:p>
      <w:pPr>
        <w:spacing w:before="20" w:after="20"/>
        <w:ind w:left="170"/>
      </w:pPr>
      <w:r>
        <w:rPr>
          <w:rFonts w:ascii="Calibri" w:hAnsi="Calibri"/>
          <w:b/>
          <w:color w:val="4A6B25"/>
          <w:sz w:val="15"/>
        </w:rPr>
        <w:t xml:space="preserve">2. </w:t>
      </w:r>
      <w:r>
        <w:rPr>
          <w:rFonts w:ascii="Calibri" w:hAnsi="Calibri"/>
          <w:b w:val="0"/>
          <w:color w:val="3A4A28"/>
          <w:sz w:val="17"/>
        </w:rPr>
        <w:t>BNY CEO Robin Vince Interview — TIME Magazine, AI strategy, platform operating model, 'powering culture' pillar, boldly but carefully approach, 2026</w:t>
      </w:r>
    </w:p>
    <w:p>
      <w:pPr>
        <w:spacing w:before="20" w:after="20"/>
        <w:ind w:left="170"/>
      </w:pPr>
      <w:r>
        <w:rPr>
          <w:rFonts w:ascii="Calibri" w:hAnsi="Calibri"/>
          <w:b/>
          <w:color w:val="4A6B25"/>
          <w:sz w:val="15"/>
        </w:rPr>
        <w:t xml:space="preserve">3. </w:t>
      </w:r>
      <w:r>
        <w:rPr>
          <w:rFonts w:ascii="Calibri" w:hAnsi="Calibri"/>
          <w:b w:val="0"/>
          <w:color w:val="3A4A28"/>
          <w:sz w:val="17"/>
        </w:rPr>
        <w:t>BNY Enterprise AI Platform and Eliza — 140 AI agents deployed, governance protocols, custody/payments/wealth integration, AI Magazine, bny.com, 2026</w:t>
      </w:r>
    </w:p>
    <w:p>
      <w:pPr>
        <w:spacing w:before="20" w:after="20"/>
        <w:ind w:left="170"/>
      </w:pPr>
      <w:r>
        <w:rPr>
          <w:rFonts w:ascii="Calibri" w:hAnsi="Calibri"/>
          <w:b/>
          <w:color w:val="4A6B25"/>
          <w:sz w:val="15"/>
        </w:rPr>
        <w:t xml:space="preserve">4. </w:t>
      </w:r>
      <w:r>
        <w:rPr>
          <w:rFonts w:ascii="Calibri" w:hAnsi="Calibri"/>
          <w:b w:val="0"/>
          <w:color w:val="3A4A28"/>
          <w:sz w:val="17"/>
        </w:rPr>
        <w:t>SEC Charges BNY Mellon Investment Adviser for ESG Misstatements — SEC Press Release 2022-86, $1.5M penalty</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BK Key Statistics: Stock Price $162.50, PE 18.97, Forward PE 16.91, PEG 0.96, ROE 14.12%,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