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BLDR</w:t>
      </w:r>
      <w:r>
        <w:rPr>
          <w:rFonts w:ascii="Calibri" w:hAnsi="Calibri"/>
          <w:b/>
          <w:color w:val="1A2010"/>
          <w:sz w:val="40"/>
        </w:rPr>
        <w:t xml:space="preserve">  Builders FirstSource, Inc.</w:t>
      </w:r>
    </w:p>
    <w:p>
      <w:pPr>
        <w:spacing w:after="120"/>
      </w:pPr>
      <w:r>
        <w:rPr>
          <w:rFonts w:ascii="Calibri" w:hAnsi="Calibri"/>
          <w:b/>
          <w:color w:val="6E8450"/>
          <w:sz w:val="18"/>
        </w:rPr>
        <w:t>GROWTH SLEEVE · 2026-09-08 · Inspire: 44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Building Products &amp; Equipment · NYSE · United States</w:t>
      </w:r>
    </w:p>
    <w:p>
      <w:pPr>
        <w:spacing w:after="80"/>
      </w:pPr>
      <w:r>
        <w:rPr>
          <w:rFonts w:ascii="Calibri" w:hAnsi="Calibri"/>
          <w:b w:val="0"/>
          <w:color w:val="3A4A28"/>
          <w:sz w:val="20"/>
        </w:rPr>
        <w:t>Builders FirstSource is the largest U.S. supplier of building products, prefabricated components, and value-added services to the professional market for new residential construction and repair &amp; remodeling. The company operates approximately 570+ locations across 43 states, manufacturing and distributing lumber, trusses, wall panels, windows, doors, and millwork. Formed through the transformative 2021 merger with BMC Stock Holdings, the company serves single-family and multi-family homebuilders with an integrated manufacturing and distribution platform. CEO Peter Jackson succeeded Dave Flitman in late 2024. Q2 2026 net sales were $3.9B (-8.8% YoY) as the housing downturn deepened.</w:t>
      </w:r>
    </w:p>
    <w:p>
      <w:r>
        <w:rPr>
          <w:rFonts w:ascii="Calibri" w:hAnsi="Calibri"/>
          <w:b/>
          <w:color w:val="6E8450"/>
          <w:sz w:val="18"/>
        </w:rPr>
        <w:t>28,000 Employees · https://www.bldr.com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Builders FirstSource executed the transformative $8.2B merger with BMC Stock Holdings in January 2021, creating the nation's largest building products supplier with 570+ locations across 43 states [1]. The company has completed 40+ acquisitions over the past decade, systematically building a national platform, and shifted its product mix toward higher-margin value-added components (trusses, wall panels) now representing ~50% of net sales. However, no new product category has been created and revenue has declined from a $22.7B peak in 2022 to ~$14.6B TTM. AI Deployment (1/2): BLDR invested $25.3M leading Digs' Series A round for an AI-powered construction workflow platform and deployed an internal AI development platform achieving 3-5x faster software development across 120 engineers [2]. CEO Peter Jackson acknowledged AI's limitations on building sites ('a system that often hallucinates') but committed to digital tool investment. No quantified AI revenue yet. Market Share (2/2): Category leader — BLDR is the largest U.S. supplier of structural building products by revenue, with dominant positions in manufactured components, windows, doors, and millwork [1]. The scale advantage from the BMC merger creates distribution density and procurement leverage that smaller competitors cannot replicate. Product Pipeline (1/2): The Paradigm estimating software, MyBLDR+ digital platform, and Digs partnership represent a meaningful digital roadmap, but specific next-gen products with named launch dates and revenue visibility are limited [2]. R&amp;D Intensity (0/1): As a building materials manufacturer and distributor, BLDR's R&amp;D spending as a percentage of revenue is minimal; innovation comes through process improvement and acquisitions rather than formal R&amp;D programs.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Builders FirstSource's purpose to 'build a better future for those we serve' with core values summarized as S.P.I.C.E. (Safety, People First, Uncompromising Integrity, Customer Committed, Everyday Excellence) connects the company's work to the tangible outcome of building homes and communities [3]. The purpose is genuine and guides cultural initiatives but is not deeply distinctive or transformative — many building products companies could claim a similar purpose. Community Impact (2/2): Significant, sustained charitable investment — since 2006, BLDR has raised more than $11 million for The Leukemia and Lymphoma Society through annual charity events, plus $2M+ in additional contributions to BFS Cares (employee emergency fund), Tunnel to Towers Foundation, and American Red Cross [3]. Over 90% of wood sourced from SFI/FSC-certified vendors [4]. Employee Retention (1/2): Glassdoor rating of 3.4/5 with 61% of employees recommending the company; recognized by Comparably for Best Career Growth and Best Leadership [3]. Mixed reviews — some praise team-oriented culture while others cite confrontational corporate dynamics and describe the organization as unprofessional for its size [3]. Average retention for the industry. Insider Buying (1/2): Net insider buying identified in recent periods — 305,180 shares purchased versus 76,080 sold in the last 100 insider trades, and the Board authorized $500M in share repurchases in April 2026, signaling management confidence despite the housing downturn [1]. Individual insider buying is modest relative to market cap.</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for a Growth stock. Financial metrics have deteriorated materially since July as the housing downturn deepened. ROE has collapsed to 2.51% (target 15%) and TTM net profit margin compressed to 0.71% (target 20%), reflecting Q1 2026's net loss of $(47.4)M and Q2's 51% adjusted EPS decline [1]. D/E of 131% is above the 70% target but manageable for the leveraged acquisition model. Forward P/E of 17.0x is below the 20x target, scoring full marks as the market prices in cyclical trough earnings [5]. Revenue growth YoY of -8.8% (Q2 2026) drags the score, though the 5yr revenue CAGR of ~12% (inflated by the 2021 BMC merger; organic CAGR ~3%) scores at maximum [1]. PEG ratio of 2.02 scores at 0.49 against the 1.0 target with 2x weight. The stock clears the liquidity floor with daily traded value of ~$156M (2M shares x $77.77).</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Builders FirstSource demonstrates meaningful infinite game characteristics under CEO Peter Jackson, with a purpose-connected acquisition strategy, digital innovation investment during a downturn, and organizational stability across 570+ locations. The 2021 BMC merger was transformative and the $500M buyback authorization during housing weakness signals long-term conviction. However, the combined entity is only five years old, the purpose has not been tested through multiple leadership transitions or crises, and earnings call language remains heavily financial-metric oriented. The company earns a MIXED rating — playing more than a purely finite game but not yet demonstrating the multi-decade purpose validation of true infinite players.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BLDR's purpose to 'build a better future for those we serve' with SPICE values connects the company's work to the tangible outcome of helping America build homes [3]. The purpose has guided strategic decisions — the BMC merger to create national scale, investment in value-added manufacturing to improve homebuilding efficiency, and commitment to digital innovation during a severe downturn. Capital allocation has been consistent with this purpose. However, the combined entity dates only to 2021, and the purpose has not yet been tested through multi-decade, multi-crisis validation. CEO Peter Jackson's tenure of ~1.5 years adds leadership transition risk to the Just Cause's durability.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Adequate trust indicators — Glassdoor 3.4/5, Comparably recognition for Best Career Growth and Best Leadership in 2026, and the BFS Cares employee emergency assistance fund demonstrate institutional care [3]. With ~28,000 employees across 570+ locations, the company maintains reasonable organizational stability. However, mixed reviews citing confrontational corporate dynamics and top-down decision-making suggest trust varies significantly across the organization. The CEO transition (Peter Jackson taking over November 2024) was orderly, a positive signal. Average for a company of this size in building materials.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CEO Peter Jackson's competitive language focuses on self-improvement rather than competitor destruction. His emphasis on being on the 'front lines of solving the AI puzzle for the building products industry' frames competition as an industry-wide challenge to solve, not a war to win [2]. The company's acquisition strategy has been about building capabilities (manufacturing, digital tools, geographic coverage) rather than eliminating rivals. The competitive framing is about becoming the best partner for homebuilders, not about defeating specific competitors.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2021 BMC merger was transformative — combining two of the largest building products distributors to create a national platform with 570+ locations [1]. This was a fundamental redefinition of the company's scale and competitive position. The ongoing shift from commodity distribution toward value-added manufacturing and digital tools demonstrates willingness to evolve. However, these changes remain within the building products domain — the company has not demonstrated the kind of cross-industry existential pivot that earns the maximum score.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$500M share repurchase authorization in April 2026 during a period when revenue declined 10% and Q1 posted a net loss demonstrates willingness to invest in the long term despite short-term pain [1]. The $25.3M Digs AI investment and continued digital platform development during the housing downturn reflect long-term conviction over near-term earnings optimization [2]. However, Jackson's tenure is only ~1.5 years, and the primary response to the 2026 downturn has been cost reduction — the true test of courage will come if the downturn deepens further.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Builders FirstSource is the nation's largest building products supplier with ~$14.6B in TTM revenue, 570+ locations, and dominant market share in manufactured components, windows, doors, and millwork — trading at a forward P/E of 17x cyclically depressed earnings [1][5]. Despite a punishing housing downturn (Q2 2026 revenue -8.8% YoY, Q1 net loss of $47.4M), the structural competitive advantages remain intact: national scale enables procurement leverage, value-added manufacturing (~50% of sales) creates switching costs, and 40+ acquisitions have built distribution density that smaller competitors cannot replicate. The $25.3M Digs AI investment and digital platform development position BLDR as a technology leader in traditionally low-tech building products [2]. The $500M buyback authorization signals management confidence, and the Inspire Impact Score of 44 (ALIGNED) with zero negative attributions supports faith-based allocation [4]. At 17x forward earnings, any normalization of housing starts from cyclical lows would generate significant earnings leverage on BLDR's fixed-cost manufacturing base.</w:t>
      </w:r>
    </w:p>
    <w:p>
      <w:pPr>
        <w:spacing w:after="120"/>
      </w:pPr>
      <w:r>
        <w:rPr>
          <w:rFonts w:ascii="Calibri" w:hAnsi="Calibri"/>
          <w:b w:val="0"/>
          <w:color w:val="3A4A28"/>
          <w:sz w:val="20"/>
        </w:rPr>
        <w:t>The bear case centers on the severity and duration of the housing downturn and the financial fragility at cyclical trough. Revenue has declined for three consecutive years from $22.7B (2022) to ~$14.6B TTM — a 36% peak-to-trough contraction — with Q1 2026 producing the first quarterly net loss since the BMC merger [1]. TTM ROE has collapsed to 2.51% from historical levels above 20%, and net profit margin of 0.71% leaves zero cushion for further deterioration. D/E of 131% reflects the leveraged acquisition model, and continued share repurchases during an earnings downturn add balance sheet risk if housing stays depressed through 2027 [5]. The 5yr revenue CAGR of 12% is inflated by the BMC merger; organic base business growth is only ~3% CAGR, suggesting limited pricing power in a commodity-adjacent industry. Analysts project continued earnings pressure with Q2 adjusted EPS down 51% YoY to $1.17, missing estimates of $1.28 [1]. If mortgage rates remain elevated above 6.5% and single-family starts stay below 1.0M annualized, the cyclical recovery the market is pricing in may be delayed well beyond consensus expectations.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Mortgage rate decline toward 5.5-6.0% triggering recovery in single-family housing starts from cyclical lows, driving volume recovery across BLDR's 570+ location network with significant operating leverage on the fixed cost base — every 100bps decline historically drives 10-15% starts growth [1]</w:t>
      </w:r>
    </w:p>
    <w:p>
      <w:pPr>
        <w:spacing w:before="40" w:after="40"/>
        <w:ind w:left="283"/>
      </w:pPr>
      <w:r>
        <w:rPr>
          <w:rFonts w:ascii="Calibri" w:hAnsi="Calibri"/>
          <w:b/>
          <w:color w:val="4A6B25"/>
          <w:sz w:val="20"/>
        </w:rPr>
        <w:t xml:space="preserve">2. </w:t>
      </w:r>
      <w:r>
        <w:rPr>
          <w:rFonts w:ascii="Calibri" w:hAnsi="Calibri"/>
          <w:b w:val="0"/>
          <w:color w:val="3A4A28"/>
          <w:sz w:val="20"/>
        </w:rPr>
        <w:t>Value-added product mix shift toward 55-60% of sales (from ~50%) through expanded prefabrication and digital design tools, structurally improving gross margins by 200-300bps independent of commodity cycles and creating stronger builder switching costs [2]</w:t>
      </w:r>
    </w:p>
    <w:p>
      <w:pPr>
        <w:spacing w:before="40" w:after="40"/>
        <w:ind w:left="283"/>
      </w:pPr>
      <w:r>
        <w:rPr>
          <w:rFonts w:ascii="Calibri" w:hAnsi="Calibri"/>
          <w:b/>
          <w:color w:val="4A6B25"/>
          <w:sz w:val="20"/>
        </w:rPr>
        <w:t xml:space="preserve">3. </w:t>
      </w:r>
      <w:r>
        <w:rPr>
          <w:rFonts w:ascii="Calibri" w:hAnsi="Calibri"/>
          <w:b w:val="0"/>
          <w:color w:val="3A4A28"/>
          <w:sz w:val="20"/>
        </w:rPr>
        <w:t>Digital transformation via $25.3M Digs AI platform, Paradigm estimating software, and MyBLDR+ platform creating technology-driven competitive advantages that enable BLDR to capture share from smaller regional distributors lacking digital capabilities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Housing starts remain depressed below 1.0M annualized single-family units as mortgage rates stay elevated above 6.5%, extending the revenue contraction from the $22.7B peak and potentially forcing deeper cost cuts that impair long-term capabilities [1]</w:t>
      </w:r>
    </w:p>
    <w:p>
      <w:pPr>
        <w:spacing w:before="40" w:after="40"/>
        <w:ind w:left="283"/>
      </w:pPr>
      <w:r>
        <w:rPr>
          <w:rFonts w:ascii="Calibri" w:hAnsi="Calibri"/>
          <w:b/>
          <w:color w:val="4A6B25"/>
          <w:sz w:val="20"/>
        </w:rPr>
        <w:t xml:space="preserve">2. </w:t>
      </w:r>
      <w:r>
        <w:rPr>
          <w:rFonts w:ascii="Calibri" w:hAnsi="Calibri"/>
          <w:b w:val="0"/>
          <w:color w:val="3A4A28"/>
          <w:sz w:val="20"/>
        </w:rPr>
        <w:t>Balance sheet leverage (D/E 131%) combined with near-zero profitability (TTM profit margin 0.71%) creates financial risk if the housing downturn extends into 2028 — the company posted a $47.4M net loss in Q1 2026 while simultaneously authorizing $500M in buybacks [1][5]</w:t>
      </w:r>
    </w:p>
    <w:p>
      <w:pPr>
        <w:spacing w:before="40" w:after="40"/>
        <w:ind w:left="283"/>
      </w:pPr>
      <w:r>
        <w:rPr>
          <w:rFonts w:ascii="Calibri" w:hAnsi="Calibri"/>
          <w:b/>
          <w:color w:val="4A6B25"/>
          <w:sz w:val="20"/>
        </w:rPr>
        <w:t xml:space="preserve">3. </w:t>
      </w:r>
      <w:r>
        <w:rPr>
          <w:rFonts w:ascii="Calibri" w:hAnsi="Calibri"/>
          <w:b w:val="0"/>
          <w:color w:val="3A4A28"/>
          <w:sz w:val="20"/>
        </w:rPr>
        <w:t>Commodity lumber price volatility creates margin risk independent of housing volume — lumber deflation contributed to revenue declines, and the company's significant lumber exposure amplifies the impact of commodity cycles on reported results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BLDR's core business — manufacturing trusses, cutting lumber, assembling wall panels, and distributing building materials via truck to 570+ locations — is fundamentally physical-world infrastructure that AI structurally cannot displace [1]. CEO Peter Jackson noted AI 'hallucinates and sometimes lies,' which 'doesn't work well on a building site' where precision cutting and structural engineering are non-negotiable [2]. Regulatory requirements (building codes, structural certifications), physical logistics, and deep contractor relationships create defensive moats. AI may actually increase demand by accelerating housing design and permitting timelines. The slight deduction reflects that some value-added services (design tools, estimation software) could face competitive pressure from AI-native design platforms over the long term. AI Opportunity (1/1): BLDR generates early-stage AI-adjacent revenue through its $25.3M investment in Digs (AI-powered construction workflow platform), deployment of an AI development platform achieving 3-5x faster software development across 120 engineers, and AI applications for inventory management, pricing optimization, and customer service [2]. These represent genuine, quantifiable AI-driven operational improvements.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Builders FirstSource Q2 2026 Slides and Q1 2026 Earnings Release — Q2 net sales $3.9B (-8.8% YoY), Q1 net loss $47.4M, FY2026 guidance $14.6-15.6B, adjusted EPS Q2 $1.17 (-51% YoY) — Investing.com, investors.bldr.com, May-August 2026</w:t>
      </w:r>
    </w:p>
    <w:p>
      <w:pPr>
        <w:spacing w:before="20" w:after="20"/>
        <w:ind w:left="170"/>
      </w:pPr>
      <w:r>
        <w:rPr>
          <w:rFonts w:ascii="Calibri" w:hAnsi="Calibri"/>
          <w:b/>
          <w:color w:val="4A6B25"/>
          <w:sz w:val="15"/>
        </w:rPr>
        <w:t xml:space="preserve">2. </w:t>
      </w:r>
      <w:r>
        <w:rPr>
          <w:rFonts w:ascii="Calibri" w:hAnsi="Calibri"/>
          <w:b w:val="0"/>
          <w:color w:val="3A4A28"/>
          <w:sz w:val="17"/>
        </w:rPr>
        <w:t>Builders FirstSource AI and Digital Innovation — $25.3M Digs Series A investment, AI development platform deployment (3-5x dev speed, 120 engineers), CEO Peter Jackson on AI in construction — HousingWire, Distribution Strategy Group, Builder Online, 2026</w:t>
      </w:r>
    </w:p>
    <w:p>
      <w:pPr>
        <w:spacing w:before="20" w:after="20"/>
        <w:ind w:left="170"/>
      </w:pPr>
      <w:r>
        <w:rPr>
          <w:rFonts w:ascii="Calibri" w:hAnsi="Calibri"/>
          <w:b/>
          <w:color w:val="4A6B25"/>
          <w:sz w:val="15"/>
        </w:rPr>
        <w:t xml:space="preserve">3. </w:t>
      </w:r>
      <w:r>
        <w:rPr>
          <w:rFonts w:ascii="Calibri" w:hAnsi="Calibri"/>
          <w:b w:val="0"/>
          <w:color w:val="3A4A28"/>
          <w:sz w:val="17"/>
        </w:rPr>
        <w:t>Builders FirstSource Corporate Website — SPICE Values, Mission, Leadership, Comparably Recognition, Glassdoor 3.4/5, BFS Cares fund, $11M+ LLS charitable giving since 2006 — bldr.com, Glassdoor,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Builders FirstSource 2025 CSR Report — SFI/FSC certified sourcing &gt;90%, Scope 1/2 emissions baselines, sustainability targets — ESG Today, 2025-2026</w:t>
      </w:r>
    </w:p>
    <w:p>
      <w:pPr>
        <w:spacing w:before="20" w:after="20"/>
        <w:ind w:left="170"/>
      </w:pPr>
      <w:r>
        <w:rPr>
          <w:rFonts w:ascii="Calibri" w:hAnsi="Calibri"/>
          <w:b/>
          <w:color w:val="4A6B25"/>
          <w:sz w:val="15"/>
        </w:rPr>
        <w:t xml:space="preserve">5. </w:t>
      </w:r>
      <w:r>
        <w:rPr>
          <w:rFonts w:ascii="Calibri" w:hAnsi="Calibri"/>
          <w:b w:val="0"/>
          <w:color w:val="3A4A28"/>
          <w:sz w:val="17"/>
        </w:rPr>
        <w:t>Yahoo Finance, StockAnalysis, GuruFocus — BLDR Key Statistics: Forward P/E 17.0x, D/E 131%, ROE 2.51%, Profit Margin 0.71%, PEG 2.02, Stock Price $77.77, Avg Volume 2.0M —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