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BLNK</w:t>
      </w:r>
      <w:r>
        <w:rPr>
          <w:rFonts w:ascii="Calibri" w:hAnsi="Calibri"/>
          <w:b/>
          <w:color w:val="1A2010"/>
          <w:sz w:val="40"/>
        </w:rPr>
        <w:t xml:space="preserve">  Blink Charging Co.</w:t>
      </w:r>
    </w:p>
    <w:p>
      <w:pPr>
        <w:spacing w:after="120"/>
      </w:pPr>
      <w:r>
        <w:rPr>
          <w:rFonts w:ascii="Calibri" w:hAnsi="Calibri"/>
          <w:b/>
          <w:color w:val="6E8450"/>
          <w:sz w:val="18"/>
        </w:rPr>
        <w:t>GROWTH SLEEVE · 2026-09-05 · Inspire: 71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NasdaqCM · United States</w:t>
      </w:r>
    </w:p>
    <w:p>
      <w:pPr>
        <w:spacing w:after="80"/>
      </w:pPr>
      <w:r>
        <w:rPr>
          <w:rFonts w:ascii="Calibri" w:hAnsi="Calibri"/>
          <w:b w:val="0"/>
          <w:color w:val="3A4A28"/>
          <w:sz w:val="20"/>
        </w:rPr>
        <w:t>Blink Charging Co. owns, operates, and provides electric vehicle charging equipment and networked EV charging services in the United States and internationally. The company offers Level 2 and DC fast charging stations for residential, commercial, fleet, and public applications, generating revenue through hardware sales, charging services, network fees, and fleet management. FY2025 revenue was $103.5M (down from $124M in FY2024), but service revenue grew 44.7% to $49.3M and now represents 48% of total revenue. CEO Mike Battaglia succeeded founder Brendan Jones in February 2025. The SEC investigation (opened 2020) closed in January 2025 with no enforcement action recommended.</w:t>
      </w:r>
    </w:p>
    <w:p>
      <w:r>
        <w:rPr>
          <w:rFonts w:ascii="Calibri" w:hAnsi="Calibri"/>
          <w:b/>
          <w:color w:val="6E8450"/>
          <w:sz w:val="18"/>
        </w:rPr>
        <w:t>320 Employees · https://www.blinkcharging.com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Blink has been in the EV charging business since 2009 but after 17 years has achieved only $103.5M in annual revenue and remains deeply unprofitable — worse, revenue declined 16.5% YoY from FY2024's $124M [1]. The shift to service revenue (now 48% of total, up from 27% in FY2024) is a meaningful business model evolution but reflects hardware demand collapse rather than innovation-driven growth. AI Deployment (1/2): Blink deploys AI for predictive maintenance (reportedly reducing station downtime by 15%), grid load-balancing algorithms, and smart charging schedule optimization through its Stable Auto partnership [3]. These are operational efficiency tools rather than commercially distinctive AI products. Market Share (0/2): Blink holds a minor share of the North American EV charging market dominated by Tesla Supercharger (now NACS-standard open-access), ChargePoint, and utility-backed networks. With only 320 employees, ~$100M revenue, and an $84M market cap, the company lacks scale to compete against well-capitalized incumbents [1]. Product Pipeline (1/2): DC fast charging build-out with 136 new stalls approved or underway in Q1 2026, Vehicle-to-Grid capabilities, and the Customer-First Transformation initiative under a new VP of Global Customer Experience represent meaningful pipeline, though execution depends on constrained capital [2]. R&amp;D Intensity (0/1): Limited R&amp;D capability with only 320 employees; technology capabilities augmented through the Zemetric acquisition and CTO Harmeet Singh appointment rather than organic R&amp;D investment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Blink's mission to 'advance the energy transition through innovative charging solutions' and vision to 'enable energy independence for all through the global electrification of transportation' connect to the genuine cause of sustainable transportation and climate action [4]. The mission is clear and inherently meaningful but functionally indistinguishable from ChargePoint, EVgo, and every other EV charging competitor — it describes the industry's purpose, not Blink's unique contribution. Community Impact (1/2): EV charging infrastructure directly contributes to decarbonization, cleaner air, and energy independence, and Blink's extensive Inspire positive attributions (17 total including Environmental Risk Mitigation, GHG Emissions, Energy Management) validate genuine environmental impact beyond the core business model [4]. Employee Retention (0/2): CEO turnover with Mike Battaglia replacing Brendan Jones in February 2025, combined with a tiny 320-person team, persistent financial losses, and restructuring for operational efficiency, suggests retention challenges and organizational instability rather than mission-driven loyalty [3]. Insider Buying (1/2): Notably, both CEO Battaglia (33,333 shares, ~$25K) and CFO Bercovich (65,333 shares, ~$50K) made open-market purchases of BLNK stock in 2026 — modest dollar amounts but meaningful personal conviction at the executive level for a penny-stock micro-cap, with 3 insider purchases and 0 sales in the past 6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Forward P/E and PEG excluded (negative/unavailable). Blink's financial profile remains deeply distressed: ROE of approximately -71% and profit margin of -71.70% both score zero, reflecting unsustainable losses relative to revenue and equity [1][6]. FY2025 revenue declined 16.5% YoY ($103.5M vs $124M in FY2024), scoring near zero on revenue growth despite 44.7% service revenue growth masking the hardware demand collapse. The bright spots are D/E of only 14% (well within the 70% target, scoring maximum) and the 5-year revenue CAGR of ~77% from a tiny 2020 base, which scores maximum at 2x weight [6]. FY2026 guidance of $105M-$115M with 35% gross margins suggests stabilization but profitability remains years away — management projects EPS losses of $0.07-$0.09 per quarter through 2026 [1]. Cash burn reduced from ~$15M/quarter to ~$2M/quarter, extending the runway meaningfully. Liquidity floor narrowly passes: $0.58 x 2.5M avg daily volume = ~$1.45M.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Blink Charging has a clean energy mission with infinite game potential — enabling energy independence through electrified transportation — but 17 years of operating losses, leadership turnover, and failure to achieve scale suggest the company is playing a survival game rather than an infinite one. CEO Battaglia's appointment in February 2025 and the pivot toward DC fast charging and service revenue represent strategic shifts, but these feel reactive to competitive pressure and hardware demand collapse rather than driven by a deeply held cause. The 320-person team and penny-stock valuation leave no margin for the long-term thinking that infinite game play requires.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Blink's stated purpose of enabling energy independence through the electrification of transportation is a valid cause aligned with the global energy transition, and CEO Battaglia has articulated a vision of 'building Blink for the next decade and beyond' [2][4]. However, 17 years of persistent losses, revenue decline from a $140.6M peak (FY2023) to $103.5M (FY2025), and leadership instability undermine whether the cause truly drives decision-making. When a company cannot sustain itself financially after nearly two decades, the de facto mission becomes survival rather than purpose advancement.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320 employees, a CEO change in February 2025 (Battaglia replacing Jones), additional leadership appointments (CTO Singh, VP Customer Experience), and persistent financial losses creating survival-mode pressures, Blink's organizational environment is characterized by instability and cost-driven restructuring [3]. When leadership changes frequently and the company's existence is uncertain, employees spend energy adapting to new strategies and worrying about job security rather than advancing a shared cause. The small team size means every departure is felt deeply.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Blink's leadership constructively acknowledging competitors' strengths or using rivals as motivation for self-improvement. CEO Battaglia's positioning avoids direct competitive framing, but the absence of substantive engagement with how Tesla Supercharger, ChargePoint, or utility-backed networks are superior suggests limited infinite-game rival thinking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Blink has executed a meaningful business model pivot from hardware-centric charger sales to a service-revenue model that now constitutes 48% of total revenue (up from 27% in FY2024), with service revenue growing 44.7% YoY to $49.3M even as total revenue declined [1]. The strategic redirect from Level 2 chargers to DC fast charging infrastructure (136 new stalls in Q1 2026) and the dramatic reduction of quarterly cash burn from $15M to ~$2M demonstrate operational adaptability. However, these pivots were forced by competitive necessity and collapsing hardware demand rather than proactive reinvention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pivot to DC fast charging with 136 new stalls approved or underway in Q1 2026 represents a capital-intensive bet for a cash-constrained micro-cap, and CEO Battaglia's insistence that 'our business isn't built on government subsidies' shows independence of thought in a sector heavily dependent on policy support [2]. The willingness to accept revenue decline by de-emphasizing lower-margin hardware sales required conviction. CEO and CFO insider buying ($25K and $50K respectively) demonstrates personal financial commitment to the turnaround [5]. However, these bets carry existential risk for a $84M market cap company rather than representing strategic courage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Blink Charging has executed a dramatic operational transformation, reducing quarterly cash burn from $15M to approximately $2M while shifting revenue composition toward higher-margin recurring services — FY2025 service revenue grew 44.7% to $49.3M, now representing 48% of total revenue versus 27% in FY2024 [1]. Q4 2025 service revenue surged 62% YoY to $14.7M, demonstrating accelerating installed-base monetization. The company maintains a clean balance sheet with minimal debt (D/E 14%), and the DC fast charging build-out (136 new stalls approved in Q1 2026) could catalyze the next growth phase as structural EV adoption supports long-term demand for charging infrastructure [2]. CEO and CFO insider buying in 2026 signals executive conviction, and the Inspire faith alignment score of 71 is among the highest in the coverage universe [5]. FY2026 guidance of $105M-$115M with 35% gross margins suggests stabilization ahead.</w:t>
      </w:r>
    </w:p>
    <w:p>
      <w:pPr>
        <w:spacing w:after="120"/>
      </w:pPr>
      <w:r>
        <w:rPr>
          <w:rFonts w:ascii="Calibri" w:hAnsi="Calibri"/>
          <w:b w:val="0"/>
          <w:color w:val="3A4A28"/>
          <w:sz w:val="20"/>
        </w:rPr>
        <w:t>The bear case remains severe: FY2025 revenue declined 16.5% to $103.5M (from $124M in FY2024 and $140.6M peak in FY2023), and the company remains deeply unprofitable with -71.70% profit margin and estimated -71% ROE [1][6]. At $0.58 per share with an $84M market cap, Blink is a micro-cap at significant dilution risk from future capital raises needed to fund DC fast charging infrastructure build-out. The EV charging market faces structural competitive challenges: Tesla's open-access Supercharger network (NACS standard), ChargePoint's installed base, and utility-backed programs create overwhelming pressure that Blink's 320-person team and constrained capital cannot match at scale [2]. NASDAQ listing compliance at $0.58 per share is a real concern — the company risks delisting if the stock price remains below $1.00 for an extended period. The SEC investigation (closed January 2025 with no enforcement action) is resolved, but the damage to investor confidence lingers [3]. EPS losses of $0.07-$0.09 per quarter through FY2026 confirm profitability remains years away.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DC fast charging network deployment with 136 new stalls approved or underway in Q1 2026, with CEO Battaglia positioning fast charging as 'central to how we are building Blink for the next decade,' potentially reopening the revenue growth trajectory if site economics prove sustainable [2]</w:t>
      </w:r>
    </w:p>
    <w:p>
      <w:pPr>
        <w:spacing w:before="40" w:after="40"/>
        <w:ind w:left="283"/>
      </w:pPr>
      <w:r>
        <w:rPr>
          <w:rFonts w:ascii="Calibri" w:hAnsi="Calibri"/>
          <w:b/>
          <w:color w:val="4A6B25"/>
          <w:sz w:val="20"/>
        </w:rPr>
        <w:t xml:space="preserve">2. </w:t>
      </w:r>
      <w:r>
        <w:rPr>
          <w:rFonts w:ascii="Calibri" w:hAnsi="Calibri"/>
          <w:b w:val="0"/>
          <w:color w:val="3A4A28"/>
          <w:sz w:val="20"/>
        </w:rPr>
        <w:t>Service revenue continuing to grow 44-62% YoY as the installed charger base generates recurring charging fees, maintenance contracts, and network revenue at higher margins — FY2026 gross margin targeting 35% versus hardware-depressed prior levels [1]</w:t>
      </w:r>
    </w:p>
    <w:p>
      <w:pPr>
        <w:spacing w:before="40" w:after="40"/>
        <w:ind w:left="283"/>
      </w:pPr>
      <w:r>
        <w:rPr>
          <w:rFonts w:ascii="Calibri" w:hAnsi="Calibri"/>
          <w:b/>
          <w:color w:val="4A6B25"/>
          <w:sz w:val="20"/>
        </w:rPr>
        <w:t xml:space="preserve">3. </w:t>
      </w:r>
      <w:r>
        <w:rPr>
          <w:rFonts w:ascii="Calibri" w:hAnsi="Calibri"/>
          <w:b w:val="0"/>
          <w:color w:val="3A4A28"/>
          <w:sz w:val="20"/>
        </w:rPr>
        <w:t>Quarterly cash burn reduction from $15M to approximately $2M extending runway significantly, with adjusted EBITDA breakeven potentially achievable in 2027-2028 if service revenue growth trajectory and cost discipline continue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FY2025 revenue declined 16.5% to $103.5M from $124M in FY2024 (and $140.6M peak in FY2023), raising serious questions about whether the hardware demand collapse is structural or cyclical — FY2026 guidance of $105M-$115M implies only marginal improvement [1]</w:t>
      </w:r>
    </w:p>
    <w:p>
      <w:pPr>
        <w:spacing w:before="40" w:after="40"/>
        <w:ind w:left="283"/>
      </w:pPr>
      <w:r>
        <w:rPr>
          <w:rFonts w:ascii="Calibri" w:hAnsi="Calibri"/>
          <w:b/>
          <w:color w:val="4A6B25"/>
          <w:sz w:val="20"/>
        </w:rPr>
        <w:t xml:space="preserve">2. </w:t>
      </w:r>
      <w:r>
        <w:rPr>
          <w:rFonts w:ascii="Calibri" w:hAnsi="Calibri"/>
          <w:b w:val="0"/>
          <w:color w:val="3A4A28"/>
          <w:sz w:val="20"/>
        </w:rPr>
        <w:t>At $0.58 per share with persistent losses, -71.70% profit margin, and $84M market cap, the company faces significant dilution risk from future capital raises and potential NASDAQ listing compliance issues if the share price remains below $1.00 [6]</w:t>
      </w:r>
    </w:p>
    <w:p>
      <w:pPr>
        <w:spacing w:before="40" w:after="40"/>
        <w:ind w:left="283"/>
      </w:pPr>
      <w:r>
        <w:rPr>
          <w:rFonts w:ascii="Calibri" w:hAnsi="Calibri"/>
          <w:b/>
          <w:color w:val="4A6B25"/>
          <w:sz w:val="20"/>
        </w:rPr>
        <w:t xml:space="preserve">3. </w:t>
      </w:r>
      <w:r>
        <w:rPr>
          <w:rFonts w:ascii="Calibri" w:hAnsi="Calibri"/>
          <w:b w:val="0"/>
          <w:color w:val="3A4A28"/>
          <w:sz w:val="20"/>
        </w:rPr>
        <w:t>Tesla's open-access Supercharger network (NACS standard), ChargePoint's installed base, and utility-backed programs create overwhelming competitive pressure that Blink's 320-person team and constrained capital cannot match — the EV charging industry may consolidate around larger, better-funded operators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EV charging is fundamentally a physical infrastructure business — AI structurally cannot replace the need for deployed chargers, electrical connections, permitting, site maintenance, and grid integration [2]. Autonomous vehicles will require more, not fewer, charging stations. The EV transition creates accelerating demand for physical charging infrastructure regardless of AI developments. Blink's network of deployed chargers, site agreements, and utility interconnections represent physical assets that cannot be replicated by software. The only AI-adjacent risk is that competitors with superior AI capabilities (Tesla's site optimization, ChargePoint's network intelligence) could achieve better site selection, demand forecasting, and dynamic pricing — but this is competitive advantage within the industry, not AI disruption of the business model itself. AI Opportunity (0/1): Blink's AI deployments — predictive maintenance, grid load-balancing, Stable Auto smart charging partnership — are basic operational efficiency tools that improve uptime and utilization but do not generate standalone AI revenue or create commercially distinctive AI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Blink Charging Q4 and Full Year 2025 Financial Results — Revenue $103.5M (-16.5% YoY), Service Revenue $49.3M (+44.7%), Q4 Revenue $27M, Q4 Service Revenue $14.7M (+62%), FY2026 Guidance $105-115M — GlobeNewsWire, SEC Filing, March 2026</w:t>
      </w:r>
    </w:p>
    <w:p>
      <w:pPr>
        <w:spacing w:before="20" w:after="20"/>
        <w:ind w:left="170"/>
      </w:pPr>
      <w:r>
        <w:rPr>
          <w:rFonts w:ascii="Calibri" w:hAnsi="Calibri"/>
          <w:b/>
          <w:color w:val="4A6B25"/>
          <w:sz w:val="15"/>
        </w:rPr>
        <w:t xml:space="preserve">2. </w:t>
      </w:r>
      <w:r>
        <w:rPr>
          <w:rFonts w:ascii="Calibri" w:hAnsi="Calibri"/>
          <w:b w:val="0"/>
          <w:color w:val="3A4A28"/>
          <w:sz w:val="17"/>
        </w:rPr>
        <w:t>Blink Charging DC Fast Charging Strategy and CEO Battaglia Leadership — 136 New Stalls Q1 2026, Customer-First Transformation, 'Building for the Next Decade' — Nasdaq, GlobeNewsWire, June 2026</w:t>
      </w:r>
    </w:p>
    <w:p>
      <w:pPr>
        <w:spacing w:before="20" w:after="20"/>
        <w:ind w:left="170"/>
      </w:pPr>
      <w:r>
        <w:rPr>
          <w:rFonts w:ascii="Calibri" w:hAnsi="Calibri"/>
          <w:b/>
          <w:color w:val="4A6B25"/>
          <w:sz w:val="15"/>
        </w:rPr>
        <w:t xml:space="preserve">3. </w:t>
      </w:r>
      <w:r>
        <w:rPr>
          <w:rFonts w:ascii="Calibri" w:hAnsi="Calibri"/>
          <w:b w:val="0"/>
          <w:color w:val="3A4A28"/>
          <w:sz w:val="17"/>
        </w:rPr>
        <w:t>Blink Charging Zemetric Acquisition, CTO Appointment, AI Predictive Maintenance, SEC Investigation Closure (January 2025, No Enforcement) — Quiver Quantitative, Nasdaq, 2025-2026</w:t>
      </w:r>
    </w:p>
    <w:p>
      <w:pPr>
        <w:spacing w:before="20" w:after="20"/>
        <w:ind w:left="170"/>
      </w:pPr>
      <w:r>
        <w:rPr>
          <w:rFonts w:ascii="Calibri" w:hAnsi="Calibri"/>
          <w:b/>
          <w:color w:val="4A6B25"/>
          <w:sz w:val="15"/>
        </w:rPr>
        <w:t xml:space="preserve">4. </w:t>
      </w:r>
      <w:r>
        <w:rPr>
          <w:rFonts w:ascii="Calibri" w:hAnsi="Calibri"/>
          <w:b w:val="0"/>
          <w:color w:val="3A4A28"/>
          <w:sz w:val="17"/>
        </w:rPr>
        <w:t>Blink Charging Mission, Vision, and Purpose — 'Advance the Energy Transition Through Innovative Charging Solutions,' 'Enable Energy Independence for All' — blinkcharging.com,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Blink Charging Insider Transactions — CEO Battaglia 33,333 Shares Purchased (~$25K), CFO Bercovich 65,333 Shares Purchased (~$50K), 3 Buys / 0 Sales in Past 6 Months — Insider Monkey, Simply Wall 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BLNK Key Statistics: D/E 14%, Net Margin -71.70%, Market Cap $84M, Stock Price $0.58, Avg Volume ~2.5M, Shares Outstanding 143.68M,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