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BLX</w:t>
      </w:r>
      <w:r>
        <w:rPr>
          <w:rFonts w:ascii="Calibri" w:hAnsi="Calibri"/>
          <w:b/>
          <w:color w:val="1A2010"/>
          <w:sz w:val="40"/>
        </w:rPr>
        <w:t xml:space="preserve">  Bladex Inc.</w:t>
      </w:r>
    </w:p>
    <w:p>
      <w:pPr>
        <w:spacing w:after="120"/>
      </w:pPr>
      <w:r>
        <w:rPr>
          <w:rFonts w:ascii="Calibri" w:hAnsi="Calibri"/>
          <w:b/>
          <w:color w:val="6E8450"/>
          <w:sz w:val="18"/>
        </w:rPr>
        <w:t>DIVIDEND SLEEVE · 2026-10-12 · Inspire: 39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Banks - Regional · NYSE · Panama</w:t>
      </w:r>
    </w:p>
    <w:p>
      <w:pPr>
        <w:spacing w:after="80"/>
      </w:pPr>
      <w:r>
        <w:rPr>
          <w:rFonts w:ascii="Calibri" w:hAnsi="Calibri"/>
          <w:b w:val="0"/>
          <w:color w:val="3A4A28"/>
          <w:sz w:val="20"/>
        </w:rPr>
        <w:t>Bladex Inc. (formerly Banco Latinoamericano de Comercio Exterior) is a multinational bank financing foreign trade and economic integration in Latin America and the Caribbean. Operating through Commercial and Treasury segments, it serves over 270 financial institutions, corporations, and sovereign entities across 25 countries with products including bilateral and syndicated loans, letters of credit, structured trade finance, and investment management. Founded in 1975 and headquartered in Panama City, Panama, Bladex posted Q2 2026 net profit of $66.5M (+4% YoY, +18% QoQ) on revenue of approximately $99M, with a record commercial portfolio of $13B (+20% YoY) and H1 2026 EPS of $3.08.</w:t>
      </w:r>
    </w:p>
    <w:p>
      <w:r>
        <w:rPr>
          <w:rFonts w:ascii="Calibri" w:hAnsi="Calibri"/>
          <w:b/>
          <w:color w:val="6E8450"/>
          <w:sz w:val="18"/>
        </w:rPr>
        <w:t>https://bladex.com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Bladex has successfully transformed from a narrow trade-finance lender into a diversified financial services provider, with fee and commission income reaching a record $25.6M in Q2 2026 (+15% YoY) and the commercial portfolio hitting a record $13B (+20% YoY) [1][3]. The bank's efficiency ratio improved to 24.1% in Q2 2026, ranking among the most operationally efficient banks in the Americas, reflecting disciplined cost management alongside revenue diversification. AI Deployment (0/2): No evidence of AI initiatives in earnings calls, investor presentations, or public disclosures; the bank's technology investments appear focused on traditional banking infrastructure rather than AI-driven capabilities. Market Share (2/2): Bladex is the dominant trade-finance bank in Latin America, serving 270+ institutional clients across 25 countries with a supranational charter and government-backed shareholder base from 23 Latin American and Caribbean nations — a structural competitive advantage no private-sector competitor can replicate [1]. Pipeline (1/2): The bank is expanding into ESG-linked syndicated lending, closing a dual-currency ESG loan with Finanzauto in Colombia (US$53M + COP 60B) to support MSME development, and growing structured finance capabilities [5]. R&amp;D Intensity (0/1): Not applicable for banking institutions in the traditional sense; no disclosed technology R&amp;D budget.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Bladex's stated purpose — promoting Latin American economic development through trade finance — is functionally clear and unique among regional banks but lacks the aspirational specificity that distinguishes transformational missions from institutional mandates [5]. The development-bank charter with 23 government shareholders provides institutional backing but constrains the company's ability to articulate a bold forward-looking vision beyond its original mandate. Community Impact (1/2): Bladex issued its first ESG bond in 2021 with proceeds directed toward positive environmental and social impacts, partnered with the Panama Canal Authority on watershed conservation initiatives in 2025, and led an ESG syndicated loan promoting MSME development in Colombia [5]. These are meaningful but remain a small fraction of total lending activity. Employee Retention (1/2): Glassdoor reviews (limited sample of ~10) show a 4.2/5.0 overall rating with 87% CEO approval and 88% recommend-to-a-friend rate, with culture and values at 4.0/5.0 but work-life balance at a concerning 3.1/5.0 [4]. Insider Buying (0/2): No evidence of material insider purchases by CEO Jorge Salas or senior management in the past 12 months; available transaction data is limited for Panama-headquartered companies.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with exceptionally strong financial fundamentals across nearly all metrics. Forward P/E of 7.67 is dramatically below the 20 target (score 1.0), reflecting deep value pricing for a bank generating 14.7% ROE that is just shy of the 15% target (score 0.98) [1][6]. Profit margin of 71.2% (net income to total revenue for a bank with 24.1% efficiency ratio) maxes the 20% target (score 1.0), and revenue has grown at a 29.3% 3-year CAGR from $146M (2022) to $316M (2025), though current YoY growth has decelerated to 6.2% as the post-pandemic surge normalizes [1][2]. Dividend metrics are strong: 33 consecutive years of payments (score 1.0, 2x weight), 43.3% payout ratio near the 40% target (score 0.95), and a 22.4% 5-year dividend growth CAGR driven by aggressive increases from $1.00/share (2021) to $2.75/share (2026), though only 3 consecutive years of growth (score 0.3) as dividends were flat from 2021-2023 before doubling in 2024 [1]. D/E excluded as not meaningful for bank capital structures. Daily dollar volume of $9.0M provides adequate but not deep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Bladex demonstrates institutional durability — 51 years of continuous operation as Latin America's supranational trade-finance bank — but its purpose is defined more by charter mandate than visionary leadership. The bank has shown moderate adaptability in diversifying from pure trade finance into structured products and ESG financing, but the pace of transformation is incremental rather than bold. CEO Jorge Salas has maintained operational excellence (record portfolio, improving efficiency), though the absence of a compelling forward vision beyond volume growth limits the infinite game assessment.</w:t>
      </w:r>
    </w:p>
    <w:p>
      <w:pPr>
        <w:spacing w:before="200" w:after="40"/>
      </w:pPr>
      <w:r>
        <w:rPr>
          <w:rFonts w:ascii="Calibri" w:hAnsi="Calibri"/>
          <w:b/>
          <w:color w:val="1A2010"/>
          <w:sz w:val="22"/>
        </w:rPr>
        <w:t>Just Cause</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Bladex's founding purpose — promoting Latin American economic development through trade finance — has provided 51 years of institutional continuity and remains relevant as regional trade grows [5]. However, the cause reads more as an institutional mandate than a generative vision: it constrains rather than inspires strategic decisions, and management communications focus on portfolio growth and financial metrics rather than articulating how trade finance transforms communities or economies. The development-bank mission is noble but has not evolved meaningfully since the 1975 founding to address contemporary challenges like climate finance or digital inclusion at scale.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data (limited sample) shows a 4.2/5.0 overall rating and 87% CEO approval, suggesting reasonable employee satisfaction for a Panama-based financial institution [4]. The bank hired Sergio Olarte as Chief Economist in 2025, signaling investment in analytical capabilities. However, work-life balance scores of 3.1/5.0 and senior management at 3.7/5.0 suggest organizational friction, and the small workforce in a single-market niche limits the breadth of team-building evidence. No specific voluntary turnover data or employee development programs are publicly disclosed.</w:t>
      </w:r>
    </w:p>
    <w:p>
      <w:pPr>
        <w:spacing w:before="200" w:after="40"/>
      </w:pPr>
      <w:r>
        <w:rPr>
          <w:rFonts w:ascii="Calibri" w:hAnsi="Calibri"/>
          <w:b/>
          <w:color w:val="1A2010"/>
          <w:sz w:val="22"/>
        </w:rPr>
        <w:t>Worthy Rivals</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Bladex leadership publicly acknowledging specific competitors' strengths or articulating how competitive pressure drives self-improvement. The bank's competitive positioning is framed primarily through its unique supranational charter rather than through a constructive engagement with rivals like IDB Invest, CAF, or global trade-finance desks at major banks. This insular framing may reflect institutional complacency enabled by the structural advantages of the charter.</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Bladex has meaningfully diversified beyond its original trade-finance mandate, growing fee income to a record $25.6M in Q2 2026 and developing ESG-linked syndicated lending capabilities with products like the Finanzauto MSME development loan [3][5]. The commercial portfolio expansion to $13B (+20% YoY) reflects willingness to scale beyond the bank's traditional comfort zone. However, these are incremental extensions of existing capabilities rather than fundamental business model pivots; the bank has not ventured into digital banking, fintech partnerships, or platform-based models that could position it for the next era of Latin American financial services.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Bladex demonstrated long-term commitment by maintaining Latin American lending through the COVID-19 pandemic, currency crises, and political instability across its 25-country footprint — continuing to deploy capital when private-sector banks retreated [1]. The issuance of the bank's first ESG bond in 2021 and the Panama Canal watershed conservation partnership in 2025 show willingness to invest in sustainability beyond core mandates [5]. However, dividend growth from $1.00 to $2.75 per share over five years, while rewarding shareholders, absorbed capital that could have funded transformational technology or market expansion initiatives.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Bladex at $54 with a $2.0B market cap is a deeply undervalued Latin American trade-finance franchise trading at just 7.7x forward earnings with a 5.1% dividend yield, backed by a supranational charter that no competitor can replicate. Q2 2026 delivered record profit of $66.5M with an improving efficiency ratio of 24.1%, H1 2026 EPS of $3.08 tracking toward analyst estimates of $6.47 for the full year, and a record commercial portfolio of $13B (+20% YoY) demonstrating sustained demand for cross-border trade financing in the region [1][3]. Fee income diversification reached a record $25.6M (+15% YoY), reducing dependence on net interest income as spreads compress, while the payout ratio of 43% leaves ample room for continued dividend growth — the bank has tripled its annual dividend from $1.00 to $2.75 per share over five years [1][3].</w:t>
      </w:r>
    </w:p>
    <w:p>
      <w:pPr>
        <w:spacing w:after="120"/>
      </w:pPr>
      <w:r>
        <w:rPr>
          <w:rFonts w:ascii="Calibri" w:hAnsi="Calibri"/>
          <w:b w:val="0"/>
          <w:color w:val="3A4A28"/>
          <w:sz w:val="20"/>
        </w:rPr>
        <w:t>The bear case centers on margin compression and credit risk in an uncertain macro environment. Net interest margin fell to 2.24% as competitive pressures on Latin American trade-finance spreads intensify, and earnings growth has decelerated to just 2.5% YoY as the easy gains from post-pandemic recovery and the rate cycle normalize [2][6]. Bladex's concentration in Latin America exposes it to sovereign and currency risks across politically volatile markets — Argentina, Colombia, Brazil, and Mexico all face distinct macroeconomic challenges that could impair credit quality. Seeking Alpha analysis flagged rising credit risk as the key concern: while the portfolio grows aggressively (+20% YoY), provisions may not keep pace if regional economic conditions deteriorate [6]. The bank's lack of any AI or technology strategy risks falling behind global competitors investing heavily in automated trade-finance platforms, and daily dollar volume of only $9M limits institutional investor interest and creates liquidity risk for larger positions.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Record $13B commercial portfolio (+20% YoY) with fee income diversification to record $25.6M demonstrates durable demand growth and revenue quality improvement that should support analyst EPS estimates of $6.47 (FY2026) and $7.05 (FY2027) [1][3]</w:t>
      </w:r>
    </w:p>
    <w:p>
      <w:pPr>
        <w:spacing w:before="40" w:after="40"/>
        <w:ind w:left="283"/>
      </w:pPr>
      <w:r>
        <w:rPr>
          <w:rFonts w:ascii="Calibri" w:hAnsi="Calibri"/>
          <w:b/>
          <w:color w:val="4A6B25"/>
          <w:sz w:val="20"/>
        </w:rPr>
        <w:t xml:space="preserve">2. </w:t>
      </w:r>
      <w:r>
        <w:rPr>
          <w:rFonts w:ascii="Calibri" w:hAnsi="Calibri"/>
          <w:b w:val="0"/>
          <w:color w:val="3A4A28"/>
          <w:sz w:val="20"/>
        </w:rPr>
        <w:t>Dividend growth trajectory from $1.00/share (2021) to $2.75/share (2026) with a sustainable 43% payout ratio positions BLX as a compelling income play, with 5.1% current yield and potential for further increases as earnings grow [1]</w:t>
      </w:r>
    </w:p>
    <w:p>
      <w:pPr>
        <w:spacing w:before="40" w:after="40"/>
        <w:ind w:left="283"/>
      </w:pPr>
      <w:r>
        <w:rPr>
          <w:rFonts w:ascii="Calibri" w:hAnsi="Calibri"/>
          <w:b/>
          <w:color w:val="4A6B25"/>
          <w:sz w:val="20"/>
        </w:rPr>
        <w:t xml:space="preserve">3. </w:t>
      </w:r>
      <w:r>
        <w:rPr>
          <w:rFonts w:ascii="Calibri" w:hAnsi="Calibri"/>
          <w:b w:val="0"/>
          <w:color w:val="3A4A28"/>
          <w:sz w:val="20"/>
        </w:rPr>
        <w:t>ESG-linked product expansion including the Finanzauto MSME loan and Panama Canal watershed partnership opens new revenue channels in sustainable finance as Latin American institutions face growing ESG mandates from global investors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Net interest margin compression to 2.24% signals intensifying competitive pressure on trade-finance spreads from global banks and regional development institutions, which could accelerate if rate cuts reduce asset yields faster than funding costs decline [2]</w:t>
      </w:r>
    </w:p>
    <w:p>
      <w:pPr>
        <w:spacing w:before="40" w:after="40"/>
        <w:ind w:left="283"/>
      </w:pPr>
      <w:r>
        <w:rPr>
          <w:rFonts w:ascii="Calibri" w:hAnsi="Calibri"/>
          <w:b/>
          <w:color w:val="4A6B25"/>
          <w:sz w:val="20"/>
        </w:rPr>
        <w:t xml:space="preserve">2. </w:t>
      </w:r>
      <w:r>
        <w:rPr>
          <w:rFonts w:ascii="Calibri" w:hAnsi="Calibri"/>
          <w:b w:val="0"/>
          <w:color w:val="3A4A28"/>
          <w:sz w:val="20"/>
        </w:rPr>
        <w:t>Concentrated Latin American exposure creates correlated sovereign and currency risk — a synchronized regional downturn across major markets (Brazil, Mexico, Colombia, Argentina) could impair credit quality across the $13B portfolio simultaneously [6]</w:t>
      </w:r>
    </w:p>
    <w:p>
      <w:pPr>
        <w:spacing w:before="40" w:after="40"/>
        <w:ind w:left="283"/>
      </w:pPr>
      <w:r>
        <w:rPr>
          <w:rFonts w:ascii="Calibri" w:hAnsi="Calibri"/>
          <w:b/>
          <w:color w:val="4A6B25"/>
          <w:sz w:val="20"/>
        </w:rPr>
        <w:t xml:space="preserve">3. </w:t>
      </w:r>
      <w:r>
        <w:rPr>
          <w:rFonts w:ascii="Calibri" w:hAnsi="Calibri"/>
          <w:b w:val="0"/>
          <w:color w:val="3A4A28"/>
          <w:sz w:val="20"/>
        </w:rPr>
        <w:t>Lack of any disclosed AI or digital transformation strategy risks operational inefficiency versus global competitors (HSBC, Citi, Standard Chartered) investing heavily in automated trade-finance platforms, and $9M daily dollar volume limits institutional ownership and creates position liquidity risk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NEUTRAL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Bladex's core trade-finance business is insulated from direct AI substitution — cross-border lending requires deep sovereign risk assessment, regulatory expertise across 25 jurisdictions, and long-standing institutional relationships with government-backed entities that AI cannot replicate [1]. The supranational charter and 23-nation shareholder structure create structural barriers to entry that no digital competitor can circumvent. However, AI-enhanced credit scoring and automated trade-finance platforms from larger global banks (Citi, HSBC, Standard Chartered) could erode Bladex's competitive advantage in simpler trade-finance products, and the bank's lack of any disclosed AI strategy suggests it may fall behind peers in operational efficiency gains from automation [4]. Net interest margin compression to 2.24% already reflects competitive pressures that AI-enabled competitors could accelerate [2]. AI Opportunity (0/1): No evidence of AI-driven revenue initiatives or operational AI deployment; the bank's technology posture appears focused on traditional banking systems rather than AI-enabled product innovation or efficiency gains.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Bladex Q2 2026 Earnings Release — Net Profit $66.5M (+4% YoY), Revenue ~$99M, Record $13B Portfolio, H1 EPS $3.08 — Yahoo Finance, StockTitan, July 2026</w:t>
      </w:r>
    </w:p>
    <w:p>
      <w:pPr>
        <w:spacing w:before="20" w:after="20"/>
        <w:ind w:left="170"/>
      </w:pPr>
      <w:r>
        <w:rPr>
          <w:rFonts w:ascii="Calibri" w:hAnsi="Calibri"/>
          <w:b/>
          <w:color w:val="4A6B25"/>
          <w:sz w:val="15"/>
        </w:rPr>
        <w:t xml:space="preserve">2. </w:t>
      </w:r>
      <w:r>
        <w:rPr>
          <w:rFonts w:ascii="Calibri" w:hAnsi="Calibri"/>
          <w:b w:val="0"/>
          <w:color w:val="3A4A28"/>
          <w:sz w:val="17"/>
        </w:rPr>
        <w:t>Bladex Q1 2026 Earnings Call Transcript — EPS $1.31, Revenue $83.1M, NIM 2.24%, Competitive Spread Pressures — Investing.com, April 2026</w:t>
      </w:r>
    </w:p>
    <w:p>
      <w:pPr>
        <w:spacing w:before="20" w:after="20"/>
        <w:ind w:left="170"/>
      </w:pPr>
      <w:r>
        <w:rPr>
          <w:rFonts w:ascii="Calibri" w:hAnsi="Calibri"/>
          <w:b/>
          <w:color w:val="4A6B25"/>
          <w:sz w:val="15"/>
        </w:rPr>
        <w:t xml:space="preserve">3. </w:t>
      </w:r>
      <w:r>
        <w:rPr>
          <w:rFonts w:ascii="Calibri" w:hAnsi="Calibri"/>
          <w:b w:val="0"/>
          <w:color w:val="3A4A28"/>
          <w:sz w:val="17"/>
        </w:rPr>
        <w:t>Bladex Q2 2026 Investor Slides — Fee Income Record $25.6M (+15% YoY), Efficiency Ratio 24.1%, 99% Fee Income Surge — Investing.com, July 2026</w:t>
      </w:r>
    </w:p>
    <w:p>
      <w:pPr>
        <w:spacing w:before="20" w:after="20"/>
        <w:ind w:left="170"/>
      </w:pPr>
      <w:r>
        <w:rPr>
          <w:rFonts w:ascii="Calibri" w:hAnsi="Calibri"/>
          <w:b/>
          <w:color w:val="4A6B25"/>
          <w:sz w:val="15"/>
        </w:rPr>
        <w:t xml:space="preserve">4. </w:t>
      </w:r>
      <w:r>
        <w:rPr>
          <w:rFonts w:ascii="Calibri" w:hAnsi="Calibri"/>
          <w:b w:val="0"/>
          <w:color w:val="3A4A28"/>
          <w:sz w:val="17"/>
        </w:rPr>
        <w:t>Bladex Glassdoor Reviews — 4.2/5 Overall, 87% CEO Approval, 88% Recommend, Work-Life Balance 3.1/5 — Glassdoor, accessed October 2026</w:t>
      </w:r>
    </w:p>
    <w:p>
      <w:pPr>
        <w:spacing w:before="20" w:after="20"/>
        <w:ind w:left="170"/>
      </w:pPr>
      <w:r>
        <w:rPr>
          <w:rFonts w:ascii="Calibri" w:hAnsi="Calibri"/>
          <w:b/>
          <w:color w:val="4A6B25"/>
          <w:sz w:val="15"/>
        </w:rPr>
        <w:t xml:space="preserve">5. </w:t>
      </w:r>
      <w:r>
        <w:rPr>
          <w:rFonts w:ascii="Calibri" w:hAnsi="Calibri"/>
          <w:b w:val="0"/>
          <w:color w:val="3A4A28"/>
          <w:sz w:val="17"/>
        </w:rPr>
        <w:t>Bladex ESG Activity — Finanzauto ESG Syndicated Loan (US$53M + COP 60B), Panama Canal Watershed Initiative, First ESG Bond 2021 — PRNewswire, GuruFocus, January-February 2025</w:t>
      </w:r>
    </w:p>
    <w:p>
      <w:pPr>
        <w:spacing w:before="20" w:after="20"/>
        <w:ind w:left="170"/>
      </w:pPr>
      <w:r>
        <w:rPr>
          <w:rFonts w:ascii="Calibri" w:hAnsi="Calibri"/>
          <w:b/>
          <w:color w:val="4A6B25"/>
          <w:sz w:val="15"/>
        </w:rPr>
        <w:t xml:space="preserve">6. </w:t>
      </w:r>
      <w:r>
        <w:rPr>
          <w:rFonts w:ascii="Calibri" w:hAnsi="Calibri"/>
          <w:b w:val="0"/>
          <w:color w:val="3A4A28"/>
          <w:sz w:val="17"/>
        </w:rPr>
        <w:t>Seeking Alpha — 'Bladex: Earnings Are Growing, But Credit Risk Is Catching Up' — Analysis of Portfolio Growth vs. Credit Quality Trends,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