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BMEA</w:t>
      </w:r>
      <w:r>
        <w:rPr>
          <w:rFonts w:ascii="Calibri" w:hAnsi="Calibri"/>
          <w:b/>
          <w:color w:val="1A2010"/>
          <w:sz w:val="40"/>
        </w:rPr>
        <w:t xml:space="preserve">  Biomea Fusion, Inc.</w:t>
      </w:r>
    </w:p>
    <w:p>
      <w:pPr>
        <w:spacing w:after="120"/>
      </w:pPr>
      <w:r>
        <w:rPr>
          <w:rFonts w:ascii="Calibri" w:hAnsi="Calibri"/>
          <w:b/>
          <w:color w:val="6E8450"/>
          <w:sz w:val="18"/>
        </w:rPr>
        <w:t>GROWTH SLEEVE · 2026-09-28 · Inspire: 30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39</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Biotechnology · NASDAQ · United States</w:t>
      </w:r>
    </w:p>
    <w:p>
      <w:pPr>
        <w:spacing w:after="80"/>
      </w:pPr>
      <w:r>
        <w:rPr>
          <w:rFonts w:ascii="Calibri" w:hAnsi="Calibri"/>
          <w:b w:val="0"/>
          <w:color w:val="3A4A28"/>
          <w:sz w:val="20"/>
        </w:rPr>
        <w:t>Biomea Fusion is a clinical-stage biopharmaceutical company focused on the discovery and development of oral covalent small-molecule medicines for diabetes and obesity using its proprietary FUSION System platform. The company pivoted from its original oncology pipeline to metabolic diseases in 2025 under CEO Mick Hitchcock (ex-Gilead 27-year veteran). BMEA is pre-revenue with a market cap of approximately $95M and reported narrowing net losses of $20.7M for H1 2026 vs. $50.0M for H1 2025. Cash runway extends to Q2 2027.</w:t>
      </w:r>
    </w:p>
    <w:p>
      <w:r>
        <w:rPr>
          <w:rFonts w:ascii="Calibri" w:hAnsi="Calibri"/>
          <w:b/>
          <w:color w:val="6E8450"/>
          <w:sz w:val="18"/>
        </w:rPr>
        <w:t>50 Employees · https://biomeafusion.com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Biomea executed a significant strategic pivot in 2025, abandoning its oncology pipeline (including lead candidate icovamenib/BMF-219) to refocus on diabetes and obesity medicines using the FUSION System covalent chemistry platform, a bold but commercially unproven transformation with no products launched [1]. AI Deployment (0/2): No evidence of AI-powered products or quantified AI-driven cost savings in drug discovery or operations; the FUSION System is described as a covalent chemistry engineering platform, not an AI/ML system [2]. Market Share (0/2): Pre-revenue clinical-stage company with no approved products and zero market share in any therapeutic category [1]. Product Pipeline (1/2): The company has a pipeline of covalent small-molecule candidates targeting diabetes and obesity, and prior Phase II data from COVALENT-112 showed 52% C-peptide improvement in Type 1 diabetes, but post-pivot pipeline candidates lack specific named products with firm launch timelines [1]. R&amp;D Intensity (1/1): As a clinical-stage biotech, virtually 100% of operating expenses are R&amp;D-related, well above industry average for the broader healthcare sector [1].</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Biomea's stated purpose — 'We aim to cure' — is clear and connects the company's work to patient benefit, but it is not distinctive among biotech peers; many clinical-stage companies articulate similar cure-oriented missions without differentiating how or why they are uniquely positioned to deliver [2]. Community Impact (0/2): No evidence of charitable programs, community investment, or foundation activity was identified for this small clinical-stage company [3]. Employee Retention (0/2): No publicly available data on employee tenure, voluntary turnover, or cultural practices; the March 2025 CEO transition from founder Thomas Butler to Mick Hitchcock introduced leadership uncertainty at a small team [2]. Insider Buying (2/2): Meaningful net insider buying: CEO Mick Hitchcock purchased 100,000 shares on the open market in December 2025, and President/COO Ramses Erdtmann purchased approximately 50,000 shares in the same period, demonstrating personal financial conviction in the company's realigned pipeline [2].</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with most excluded due to pre-revenue status. D/E of 7.2% is exceptionally low, scoring 1.0 — the company carries minimal debt relative to equity, reflecting a clean balance sheet funded primarily by equity raises [3]. ROE of -164.1% (deeply negative due to ongoing net losses against a small equity base) scores 0.0, and profit margin is effectively 0% (pre-revenue) scoring 0.0. Revenue growth, forward P/E, and PEG ratio are all unavailable or meaningless for a pre-revenue biotech and are excluded from calculation. Growth stock weighting on available metrics: weighted sum 1.0 / max weighted sum 4.0 × 10 = 2.5, rounded to 3. Liquidity clears the floor: avg daily volume 1,490,458 × $1.32 = $1.97M &gt; $1M threshold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Biomea shows elements of purpose-driven leadership — the 'We aim to cure' mission and significant insider buying signal genuine conviction — but the company is too early-stage and has undergone too recent a strategic pivot to demonstrate the sustained, tested commitment characterizing an infinite game player. The wholesale abandonment of the oncology pipeline for metabolic diseases in 2025 was pragmatic but raises questions about strategic consistency, and the March 2025 founder-CEO ouster introduces organizational instability that Sinek would flag as a finite-game symptom.</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Biomea articulates 'We aim to cure' as its purpose, connecting drug development to patient outcomes. However, this cause is shallow by Sinek's standards — it is interchangeable with hundreds of clinical-stage biotechs and has not been validated by sustained execution [2]. The complete pivot from oncology to metabolic diseases in 2025 suggests the cause is more aspirational than foundational; leadership's commentary focused on commercial opportunity in the GLP-1 space rather than mission continuity.</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The March 2025 removal of founder-CEO Thomas Butler in favor of interim CEO Mick Hitchcock signals organizational instability at a small company, and no positive culture, retention, or employee empowerment evidence was found to offset this [2]. No tenure or turnover data is available for the roughly 50-person team.</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an infinite competitive mindset. Biomea's positioning against Novo Nordisk and Eli Lilly in the metabolic disease space focuses on competitive differentiation (oral covalent molecules vs. injectables) rather than learning from rivals' strengths [2].</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pivot from oncology to diabetes/obesity medicines represents meaningful strategic flexibility — the company abandoned its founding therapeutic area to pursue a fundamentally different market opportunity [1]. However, this was an incremental adaptation driven by clinical setbacks and commercial realities rather than a transformative reinvention in service of an enduring Just Cause. The company is too early-stage to have demonstrated category-defining flexibility.</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decision to abandon the entire oncology pipeline (including icovamenib with positive Phase II data) and pivot to diabetes/obesity required meaningful courage — it meant writing off years of R&amp;D investment and repositioning in a crowded market dominated by Novo Nordisk and Eli Lilly [1]. CEO Hitchcock's personal share purchase of 100,000 shares demonstrated willingness to put personal capital at risk. However, the pivot was partly driven by clinical and commercial setbacks rather than purely proactive long-term vision.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Biomea Fusion offers speculative exposure to the oral diabetes/obesity drug market through its proprietary FUSION System platform for covalent small-molecule medicines. The company's narrowing burn rate ($20.7M net loss in H1 2026 vs. $50.0M in H1 2025) and cash runway to Q2 2027 provide near-term financial stability [1]. CEO Mick Hitchcock brings 27 years of Gilead experience, and meaningful insider buying ($132K+ in open-market purchases by CEO and COO in December 2025) signals leadership conviction [2]. Prior Phase II data showing 52% C-peptide improvement in Type 1 diabetes validates the covalent mechanism, and oral delivery could differentiate against injectable GLP-1 competitors if the new metabolic pipeline progresses [1].</w:t>
      </w:r>
    </w:p>
    <w:p>
      <w:pPr>
        <w:spacing w:after="120"/>
      </w:pPr>
      <w:r>
        <w:rPr>
          <w:rFonts w:ascii="Calibri" w:hAnsi="Calibri"/>
          <w:b w:val="0"/>
          <w:color w:val="3A4A28"/>
          <w:sz w:val="20"/>
        </w:rPr>
        <w:t>The bear case is substantial: BMEA is a pre-revenue, $95M market cap biotech with no approved products and a complete strategic pivot less than two years old that wrote off the prior oncology pipeline [1]. The diabetes/obesity space is dominated by Novo Nordisk (Ozempic/Wegovy) and Eli Lilly (Mounjaro/Zepbound) with massive clinical and commercial advantages. Cash runway to Q2 2027 means dilutive equity raises are likely within 12 months at a depressed $1.32 share price. ROE of -164% and no path to profitability visible in the near term reflect the speculative nature of the investment. Analyst consensus forecasts widening losses in 2027 (-$76M vs. -$58M in 2026), suggesting the burn rate improvement may reverse as clinical programs advance [3]. The March 2025 founder-CEO ouster introduces execution risk at a critical pipeline development stage. The Inspire ALIGNED score (30) is a positive for faith-based investors but cannot offset the fundamental speculative risk.</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Clinical trial data readouts from FUSION System-derived metabolic disease candidates could validate the oral covalent small-molecule approach and drive significant re-rating if efficacy rivals injectable GLP-1 therapies [1]</w:t>
      </w:r>
    </w:p>
    <w:p>
      <w:pPr>
        <w:spacing w:before="40" w:after="40"/>
        <w:ind w:left="283"/>
      </w:pPr>
      <w:r>
        <w:rPr>
          <w:rFonts w:ascii="Calibri" w:hAnsi="Calibri"/>
          <w:b/>
          <w:color w:val="4A6B25"/>
          <w:sz w:val="20"/>
        </w:rPr>
        <w:t xml:space="preserve">2. </w:t>
      </w:r>
      <w:r>
        <w:rPr>
          <w:rFonts w:ascii="Calibri" w:hAnsi="Calibri"/>
          <w:b w:val="0"/>
          <w:color w:val="3A4A28"/>
          <w:sz w:val="20"/>
        </w:rPr>
        <w:t>Strategic partnership or licensing deal with a larger pharma company could provide non-dilutive funding, clinical validation, and commercial infrastructure, extending runway beyond Q2 2027 [2]</w:t>
      </w:r>
    </w:p>
    <w:p>
      <w:pPr>
        <w:spacing w:before="40" w:after="40"/>
        <w:ind w:left="283"/>
      </w:pPr>
      <w:r>
        <w:rPr>
          <w:rFonts w:ascii="Calibri" w:hAnsi="Calibri"/>
          <w:b/>
          <w:color w:val="4A6B25"/>
          <w:sz w:val="20"/>
        </w:rPr>
        <w:t xml:space="preserve">3. </w:t>
      </w:r>
      <w:r>
        <w:rPr>
          <w:rFonts w:ascii="Calibri" w:hAnsi="Calibri"/>
          <w:b w:val="0"/>
          <w:color w:val="3A4A28"/>
          <w:sz w:val="20"/>
        </w:rPr>
        <w:t>Narrowing burn rate trend (H1 2026 loss 59% lower than H1 2025) could extend cash runway if maintained, reducing near-term dilution risk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Pre-revenue biotech with cash runway only to Q2 2027, making dilutive equity offerings highly probable within 12 months at a depressed $1.32 share price [1]</w:t>
      </w:r>
    </w:p>
    <w:p>
      <w:pPr>
        <w:spacing w:before="40" w:after="40"/>
        <w:ind w:left="283"/>
      </w:pPr>
      <w:r>
        <w:rPr>
          <w:rFonts w:ascii="Calibri" w:hAnsi="Calibri"/>
          <w:b/>
          <w:color w:val="4A6B25"/>
          <w:sz w:val="20"/>
        </w:rPr>
        <w:t xml:space="preserve">2. </w:t>
      </w:r>
      <w:r>
        <w:rPr>
          <w:rFonts w:ascii="Calibri" w:hAnsi="Calibri"/>
          <w:b w:val="0"/>
          <w:color w:val="3A4A28"/>
          <w:sz w:val="20"/>
        </w:rPr>
        <w:t>Complete strategic pivot from oncology to metabolic diseases in 2025 means the pipeline is early-stage with limited clinical proof-of-concept data in the new therapeutic area [1]</w:t>
      </w:r>
    </w:p>
    <w:p>
      <w:pPr>
        <w:spacing w:before="40" w:after="40"/>
        <w:ind w:left="283"/>
      </w:pPr>
      <w:r>
        <w:rPr>
          <w:rFonts w:ascii="Calibri" w:hAnsi="Calibri"/>
          <w:b/>
          <w:color w:val="4A6B25"/>
          <w:sz w:val="20"/>
        </w:rPr>
        <w:t xml:space="preserve">3. </w:t>
      </w:r>
      <w:r>
        <w:rPr>
          <w:rFonts w:ascii="Calibri" w:hAnsi="Calibri"/>
          <w:b w:val="0"/>
          <w:color w:val="3A4A28"/>
          <w:sz w:val="20"/>
        </w:rPr>
        <w:t>Competing against Novo Nordisk (Ozempic/Wegovy) and Eli Lilly (Mounjaro/Zepbound) — companies with $100B+ market caps, established clinical programs, and dominant commercial infrastructure in the metabolic disease space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Biomea's core business — discovering and developing covalent small-molecule drugs through physical laboratory research, clinical trials, and FDA regulatory processes — involves biological complexity and physical-world operations that AI cannot substitute [1]. Drug development requires wet-lab experimentation, patient enrollment, and years of regulatory review structurally resistant to AI displacement. However, AI-enhanced drug discovery at larger competitors (Recursion, Insilico Medicine, large pharma AI initiatives) could accelerate identification of competitive covalent drug candidates, partially eroding Biomea's differentiation in its therapeutic targets [2]. The small size and limited computational resources of BMEA relative to AI-equipped pharma giants is a moderate concern. AI Opportunity (0/1): No evidence of AI-generated revenue or AI-powered products; the FUSION System is a covalent chemistry platform without disclosed AI/ML components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30</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Safety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Biomea Fusion Q2 2026 Quarterly Report (10-Q) — Net losses $20.7M for H1 2026 vs. $50.0M for H1 2025, cash runway to Q2 2027, Phase II COVALENT-112 data, SEC Filing/StockTitan, August 2026</w:t>
      </w:r>
    </w:p>
    <w:p>
      <w:pPr>
        <w:spacing w:before="20" w:after="20"/>
        <w:ind w:left="170"/>
      </w:pPr>
      <w:r>
        <w:rPr>
          <w:rFonts w:ascii="Calibri" w:hAnsi="Calibri"/>
          <w:b/>
          <w:color w:val="4A6B25"/>
          <w:sz w:val="15"/>
        </w:rPr>
        <w:t xml:space="preserve">2. </w:t>
      </w:r>
      <w:r>
        <w:rPr>
          <w:rFonts w:ascii="Calibri" w:hAnsi="Calibri"/>
          <w:b w:val="0"/>
          <w:color w:val="3A4A28"/>
          <w:sz w:val="17"/>
        </w:rPr>
        <w:t>Biomea Fusion Leadership Transition and Insider Buying — CEO Mick Hitchcock (ex-Gilead), 100K share purchase Dec 2025, COO Erdtmann 50K share purchase, 'We aim to cure' mission, GlobeNewsWire/Investors.biomeafusion.com, March-December 2025</w:t>
      </w:r>
    </w:p>
    <w:p>
      <w:pPr>
        <w:spacing w:before="20" w:after="20"/>
        <w:ind w:left="170"/>
      </w:pPr>
      <w:r>
        <w:rPr>
          <w:rFonts w:ascii="Calibri" w:hAnsi="Calibri"/>
          <w:b/>
          <w:color w:val="4A6B25"/>
          <w:sz w:val="15"/>
        </w:rPr>
        <w:t xml:space="preserve">3. </w:t>
      </w:r>
      <w:r>
        <w:rPr>
          <w:rFonts w:ascii="Calibri" w:hAnsi="Calibri"/>
          <w:b w:val="0"/>
          <w:color w:val="3A4A28"/>
          <w:sz w:val="17"/>
        </w:rPr>
        <w:t>Yahoo Finance, StockAnalysis — BMEA Key Statistics: Price $1.32, Market Cap $95M, D/E 7.2%, ROE -164.1%, Avg Volume 1.49M, Analyst Loss Estimates,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