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BMNR</w:t>
      </w:r>
      <w:r>
        <w:rPr>
          <w:rFonts w:ascii="Calibri" w:hAnsi="Calibri"/>
          <w:b/>
          <w:color w:val="1A2010"/>
          <w:sz w:val="40"/>
        </w:rPr>
        <w:t xml:space="preserve">  BitMine Immersion Technologies,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31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Capital Markets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BitMine operates an Ethereum treasury (about 4.6M ETH, roughly 3.8% of supply), stakes ETH for yield, and is winding down proprietary bitcoin mining. Q3 FY2026 (May 2026) revenue was $46.5M versus $2.05M a year earlier, with a net loss to common of $83.6M [1]. Chairman Tom Lee; CEO Chi Tsang since November 2025 [2].</w:t>
      </w:r>
    </w:p>
    <w:p>
      <w:r>
        <w:rPr>
          <w:rFonts w:ascii="Calibri" w:hAnsi="Calibri"/>
          <w:b/>
          <w:color w:val="6E8450"/>
          <w:sz w:val="18"/>
        </w:rPr>
        <w:t>3 Employees · https://bitminetech.io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pivoted from bitcoin mining to the largest ETH treasury, opening a staking revenue stream (84% of H1 revenue, $11.2M) [1]. AI Deployment (1/2): immersion cooling for AI data centers and an indirect stake via Eightco (OpenAI equity) are exploratory, with no AI revenue [2]. Market Share (2/2): holds about 4% of ETH supply, the leading corporate ETH treasury [2]. Pipeline (1/2): staking platform buildout is ongoing but timelines are unspecific. R&amp;D Intensity (0/1): essentially none, with three employees.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a treasury strategy around Ethereum, with a purpose tied to asset accumulation rather than a deeper mission [2]. Community Impact (0/2): no charitable programs found. Employee Retention (0/2): no Glassdoor data; leadership was revamped in November 2025 with $1.91M of severance paid to the prior CEO [2]. Insider Buying (0/2): no verified net insider buying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as a Growth stock. D/E of 0.011% (1.0) and revenue growth of 2,168% YoY (1.0) meet targets; forward P/E of 27.9 scores 0.80 [1]. ROE of -150.9% (0, 2x) and profit margin of 0.0% (0) offset them; the 5-year CAGR and PEG are unavailable and excluded. Weighted score is 2.8 of 6, or 4.7, rounding to 5. Daily dollar volume of about $1.0B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BitMine has reinvented itself from bitcoin miner to a leveraged Ethereum treasury, showing flexibility and conviction, but its strategy is concentrated in one volatile asset, leadership turned over in 2025, and there is no cause beyond accumulating ETH.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 thesis that Ethereum becomes core financial infrastructure is idealistic, but it functions as an investment strategy rather than a service-oriented cause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a three-person company with a CEO replaced in November 2025 and a board and leadership revamp suggest instability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positioned against Strategy-style treasury competitors on scale, with no learning-from-rivals framing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pivoted from immersion-cooled bitcoin mining to ETH treasury and staking, redefining the business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the balance sheet to roughly 4.6M ETH and winding down self-mining is a bold, costly bet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BitMine at $26.27 (about $15.8B market cap) is the largest corporate Ethereum treasury, with about 4.6M ETH (3.8% of supply) generating staking income: revenue reached $46.5M in the May 2026 quarter from $2.05M a year earlier, and TTM revenue is $61.2M [1][2]. Backed by Tom Lee as chairman and a debt-free balance sheet (D/E 0.011%), it offers leveraged exposure to Ethereum price and staking yield, with optionality from AI via the Eightco stake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concentration and volatility: net loss to common was $83.6M in Q3 despite $9.3M operating profit, ROE is -150.9%, and results are tied to ETH prices and mark-to-market accounting [1]. The consensus FY2026 revenue forecast was cut from $263M to $125M, the company has three employees, and a new CEO and board took over in November 2025 [1][2]. Equity trades as a premium vehicle on ETH; a crypto drawdown could crush both holdings and the premium.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Growth of the ETH treasury and staking income: quarterly revenue went from $1.3M (Q4 2025) to $46.5M (Q3 2026)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Ethereum adoption and price appreciation, with BitMine holding about 4% of supply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 exposure through the Eightco stake and immersion cooling for data centers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Crypto price risk: an ETH drawdown drives large mark-to-market losses, as seen in an $83.6M Q3 net loss to common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Strategy concentration, a three-person staff and a new leadership team and board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Premium to net asset value could compress as other treasuries and ETFs compete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an ETH treasury and staking business is not displaced by AI, and its value tracks crypto prices and Ethereum adoption instead; analysts instead flag concentration, crypto price risk and a new leadership team [2]. AI Opportunity (0/1): no meaningful AI revenue; immersion cooling and the Eightco stake are not reported as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BitMine Q3 FY2026 Results (nine months ended May 31, 2026) — MarketScreener, Quiver Quant, Simply Wall St,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BitMine leadership and strategy — TipRanks, StockTitan 8-K, Yahoo Finance, Simply Wall St,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BitMine ESG positioning — Carbon Credits, FinancialContent,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BMNR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