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BNS</w:t>
      </w:r>
      <w:r>
        <w:rPr>
          <w:rFonts w:ascii="Calibri" w:hAnsi="Calibri"/>
          <w:b/>
          <w:color w:val="1A2010"/>
          <w:sz w:val="40"/>
        </w:rPr>
        <w:t xml:space="preserve">  Bank of Nova Scotia</w:t>
      </w:r>
    </w:p>
    <w:p>
      <w:pPr>
        <w:spacing w:after="120"/>
      </w:pPr>
      <w:r>
        <w:rPr>
          <w:rFonts w:ascii="Calibri" w:hAnsi="Calibri"/>
          <w:b/>
          <w:color w:val="6E8450"/>
          <w:sz w:val="18"/>
        </w:rPr>
        <w:t>DIVIDEND SLEEVE · 2026-09-12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Canada</w:t>
      </w:r>
    </w:p>
    <w:p>
      <w:pPr>
        <w:spacing w:after="80"/>
      </w:pPr>
      <w:r>
        <w:rPr>
          <w:rFonts w:ascii="Calibri" w:hAnsi="Calibri"/>
          <w:b w:val="0"/>
          <w:color w:val="3A4A28"/>
          <w:sz w:val="20"/>
        </w:rPr>
        <w:t>The Bank of Nova Scotia (Scotiabank) is one of Canada's Big Five banks and the third-largest by assets, founded in 1832 in Halifax, Nova Scotia and now headquartered in Toronto. It serves over 25 million customers globally through Canadian Banking, International Banking, Global Wealth Management, and Global Banking and Markets segments, with approximately $1.5 trillion in assets. Under CEO Scott Thomson, the bank has refocused from its broad Latin American footprint toward a North American growth strategy. Q3 2026 delivered record quarterly earnings with EPS of $2.28 (+21% YoY), ROE of 14.2%, and revenue of $10,535M (+16% YoY).</w:t>
      </w:r>
    </w:p>
    <w:p>
      <w:r>
        <w:rPr>
          <w:rFonts w:ascii="Calibri" w:hAnsi="Calibri"/>
          <w:b/>
          <w:color w:val="6E8450"/>
          <w:sz w:val="18"/>
        </w:rPr>
        <w:t>90,000 Employees · https://www.scotiabank.com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Scott Thomson, Scotiabank has executed a significant strategic pivot away from its decades-long identity as 'Canada's most international bank,' divesting Colombia, Costa Rica, and Panama operations to Davivienda in 2024 to refocus capital on the North American corridor — a genuine reinvention of the bank's strategic identity [1]. AI Deployment (1/2): Scotia Intelligence provides front-line staff and technical teams shared access to AI tools, with a formal AI risk management policy and data ethics team, and an internal AI-kathon brought together 300+ employees to tackle fraud detection [2]. However, no customer-facing AI product with quantified revenue or cost-savings impact was identified. Market Share (1/2): Scotiabank is the third-largest Canadian bank by assets and deposits, a stable but not gaining position relative to RBC and TD, with all business segments profitable in Q3 2026 [1]. Product Pipeline (0/2): No specific next-generation customer product was identified with a named launch date. R&amp;D Intensity (0/1): Banks typically do not report R&amp;D as a percentage of revenue; no comparable data versus Canadian bank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Scotiabank's purpose, 'for every future,' connects the bank's work to clients', families', and communities' long-term outcomes and is consistently referenced across investor and community materials, but it remains a standard large-bank purpose rather than a transformative cause validated by decades of strategic consistency [1]. Community Impact (2/2): ScotiaRISE is a quantified $500M+ commitment (through 2030) to advance economic resilience — funding high school and post-secondary participation, newcomer integration, and career-advancement programs for disadvantaged groups — a distinctive, specific community investment program that exceeds generic corporate philanthropy [1]. Employee Retention (0/2): No specific tenure or voluntary-turnover data was found to support an above-average retention claim for a ~90,000-employee organization. Insider Buying (0/2): CEO Scott Thomson's most recent disclosed purchase (6,900 shares, ~$499,905) was made in February 2025, more than 12 months before this screen date, so it falls outside the evaluation window.</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dividend-stock metrics with all 10 metric categories populated [1][3]. D/E of 54% scores a full 1.0 against the 70% target. ROE of 14.2% (Q3 2026 record, exceeding the bank's medium-term target) scores 0.95 against the 15% target — up significantly from 11.0% at the prior screen [1]. Revenue growth YoY of 16% (Q3 2026) scores a full 1.0, reflecting the strongest quarterly growth in years with all four segments contributing [1]. Estimated 5-year revenue CAGR of ~5% scores 0.67. Forward P/E of 12.36x and profit margin of 28.43% both score a full 1.0, reflecting an attractively valued, highly profitable banking franchise. On dividend metrics: payout ratio of 60.4% scores 0.66; consecutive years paid (~193, unbroken since the first dividend declared July 1, 1833) scores a full 1.0 at 2x weight; consecutive years of dividend growth (~4, since OSFI lifted the pandemic-era freeze) scores 0.40; and 5-year dividend growth CAGR of 4.84% scores 0.81 at 2x weight [3]. Liquidity is far above the floor: $80.00 x 2.0M avg daily volume = ~$160M.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Scotiabank's 193-year unbroken dividend record and CEO Thomson's 2024 decision to walk away from profitable Latin American operations in favor of a North American strategic focus show real infinite-game discipline — willingness to sacrifice near-term diversification and revenue for long-term strategic coherence. Q3 2026 record results (ROE 14.2%, EPS +21%) suggest the strategic pivot is validating the cause. The gap to INFINITE is organizational: no evidence of exceptional trust or a distinctively lived Just Cause beyond a standard, well-funded purpose statement, and a prior governance failure involving compliance staff terminations undermines the trust dimension.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'For every future,' backed by the $500M+ ScotiaRISE community investment commitment, is a genuine cause connecting the bank's work to client and community outcomes [1]. The bank's 193-year operating history demonstrates institutional endurance. However, the recent pivot away from decades of Latin American/Caribbean expansion suggests the cause bends to leadership strategy rather than anchoring it with Sinek-level consistency — a bank whose purpose has changed with each CEO transition is partially, not fully, living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Scotiabank's AI culture includes shared front-line access to AI tools and cross-functional AI-kathons with 300+ employees, signaling some empowerment [2]. However, a 2025 governance incident involving the termination of two stock analysts and three senior compliance employees for failing to escalate a personal-trading violation reveals pockets of compliance failure that cut against a fully high-trust environment. The large scale (~90,000 employees) makes trust assessment inherently partial.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Available research shows Scotiabank benchmarking itself against RBC, TD, and BMO primarily on ROE and earnings metrics — a largely finite 'catch up and win' framing rather than explicit acknowledgment of what rivals' strengths teach the bank about its own weaknesses.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Divesting the Colombia, Costa Rica, and Panama operations to Davivienda in 2024 and abandoning the 'most international bank' identity built over decades in favor of a North American (Canada-US-Mexico) strategy is a genuine, costly reinvention of what kind of bank Scotiabank is — not an incremental tweak [1]. The pivot involved giving up in-place revenue and international diversification, driven by strategic conviction about where capital would generate the best returns over the long term.</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Scott Thomson's decision to exit profitable, decades-established Latin American and Caribbean franchises — giving up in-place revenue and the bank's distinctive international diversification advantage — to concentrate capital on the North American corridor is a pattern of costly, long-term-focused capital allocation [1]. Q3 2026 record results (ROE 14.2%, Canadian Banking earnings +12%, Global Banking &amp; Markets +37%) are early validation that the sacrifice is paying off.</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Scotiabank delivered record Q3 2026 results with EPS of $2.28 (+21% YoY), ROE of 14.2% (exceeding the bank's medium-term target, with CEO Thomson stating '14% ROE is not a ceiling'), and revenue growth of 16% to $10,535M with all four business segments profitable — Canadian Banking earnings +12%, International Banking stable, Global Wealth Management +19%, and Global Banking &amp; Markets +37% [1]. At 12.36x forward earnings with a 3.56% dividend yield backed by an unbroken 193-year dividend record dating to 1833, BNS offers a durable, moated income profile [3]. Banking is a regulated, license-protected business that AI cannot easily disrupt, and Scotiabank has built explicit AI-governance discipline ahead of many peers [2]. The North American refocusing strategy under Thomson is generating the earnings acceleration the market was waiting for.</w:t>
      </w:r>
    </w:p>
    <w:p>
      <w:pPr>
        <w:spacing w:after="120"/>
      </w:pPr>
      <w:r>
        <w:rPr>
          <w:rFonts w:ascii="Calibri" w:hAnsi="Calibri"/>
          <w:b w:val="0"/>
          <w:color w:val="3A4A28"/>
          <w:sz w:val="20"/>
        </w:rPr>
        <w:t>The primary risks are concentration, governance history, and dividend growth recovery. The 2024 divestment of Colombia, Costa Rica, and Panama concentrates the bank's exposure in Canada, Mexico, and the US, reducing the geographic diversification that once distinguished BNS from domestic-only peers — any North American macro downturn would disproportionately affect earnings [1]. The 5-year dividend growth CAGR of 4.84% remains depressed by the multi-year OSFI-mandated pandemic dividend freeze, and the 60.4% payout ratio limits near-term dividend acceleration without further earnings growth [3]. A 2025 governance failure — analysts and compliance staff terminated for failing to escalate trading violations — plus a historical track record of AML and commodities-manipulation penalties create ongoing reputational overhang [2]. The Inspire Impact Score of -49 (MISALIGNED) due to LGBT Activism attribution limits allocation for faith-based investors despite strong ESG practices and the ESG-driven Elbit Systems divestment.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ROE trajectory above 14% with CEO Thomson declaring 'not a ceiling,' supported by record Q3 earnings growth across all business segments and improving operational efficiency from the North American strategic refocus [1]</w:t>
      </w:r>
    </w:p>
    <w:p>
      <w:pPr>
        <w:spacing w:before="40" w:after="40"/>
        <w:ind w:left="283"/>
      </w:pPr>
      <w:r>
        <w:rPr>
          <w:rFonts w:ascii="Calibri" w:hAnsi="Calibri"/>
          <w:b/>
          <w:color w:val="4A6B25"/>
          <w:sz w:val="20"/>
        </w:rPr>
        <w:t xml:space="preserve">2. </w:t>
      </w:r>
      <w:r>
        <w:rPr>
          <w:rFonts w:ascii="Calibri" w:hAnsi="Calibri"/>
          <w:b w:val="0"/>
          <w:color w:val="3A4A28"/>
          <w:sz w:val="20"/>
        </w:rPr>
        <w:t>Continued North American strategic focus following the 2024 Latin American divestitures, simplifying the investment case and enabling capital redeployment toward higher-ROE Canadian and US opportunities [1]</w:t>
      </w:r>
    </w:p>
    <w:p>
      <w:pPr>
        <w:spacing w:before="40" w:after="40"/>
        <w:ind w:left="283"/>
      </w:pPr>
      <w:r>
        <w:rPr>
          <w:rFonts w:ascii="Calibri" w:hAnsi="Calibri"/>
          <w:b/>
          <w:color w:val="4A6B25"/>
          <w:sz w:val="20"/>
        </w:rPr>
        <w:t xml:space="preserve">3. </w:t>
      </w:r>
      <w:r>
        <w:rPr>
          <w:rFonts w:ascii="Calibri" w:hAnsi="Calibri"/>
          <w:b w:val="0"/>
          <w:color w:val="3A4A28"/>
          <w:sz w:val="20"/>
        </w:rPr>
        <w:t>193-year unbroken dividend record with resumed growth (4 consecutive years since the OSFI freeze ended) supporting the income thesis, with a potential for accelerated dividend increases as ROE sustainably exceeds 14%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Reduced geographic diversification following the exit from Colombia, Costa Rica, and Panama, concentrating exposure in Canada, Mexico, and the US where macro conditions are correlated — a North American recession would hit all segments simultaneously [1]</w:t>
      </w:r>
    </w:p>
    <w:p>
      <w:pPr>
        <w:spacing w:before="40" w:after="40"/>
        <w:ind w:left="283"/>
      </w:pPr>
      <w:r>
        <w:rPr>
          <w:rFonts w:ascii="Calibri" w:hAnsi="Calibri"/>
          <w:b/>
          <w:color w:val="4A6B25"/>
          <w:sz w:val="20"/>
        </w:rPr>
        <w:t xml:space="preserve">2. </w:t>
      </w:r>
      <w:r>
        <w:rPr>
          <w:rFonts w:ascii="Calibri" w:hAnsi="Calibri"/>
          <w:b w:val="0"/>
          <w:color w:val="3A4A28"/>
          <w:sz w:val="20"/>
        </w:rPr>
        <w:t>Governance and compliance history — the 2025 analyst/compliance-staff terminations, prior AML penalties, and commodities-manipulation settlement create ongoing reputational and regulatory risk that could result in fines or capital requirements [2]</w:t>
      </w:r>
    </w:p>
    <w:p>
      <w:pPr>
        <w:spacing w:before="40" w:after="40"/>
        <w:ind w:left="283"/>
      </w:pPr>
      <w:r>
        <w:rPr>
          <w:rFonts w:ascii="Calibri" w:hAnsi="Calibri"/>
          <w:b/>
          <w:color w:val="4A6B25"/>
          <w:sz w:val="20"/>
        </w:rPr>
        <w:t xml:space="preserve">3. </w:t>
      </w:r>
      <w:r>
        <w:rPr>
          <w:rFonts w:ascii="Calibri" w:hAnsi="Calibri"/>
          <w:b w:val="0"/>
          <w:color w:val="3A4A28"/>
          <w:sz w:val="20"/>
        </w:rPr>
        <w:t>Dividend growth still recovering from the multi-year pandemic-era freeze, with payout ratio of 60.4% and 5-year CAGR of 4.84% suggesting real income growth has been modest; acceleration requires sustained earnings growth above the current trajectory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PROTECTED — Scotiabank's core deposit-taking, lending, and wealth-management businesses require a banking license, deposit insurance backing, regulatory capital, and deep customer trust that AI cannot substitute [1]. The bank has built explicit ethical-AI governance — Scotia Intelligence provides shared AI access to front-line staff with a data ethics policy embedded in the code of conduct — reducing regulatory and reputational AI risk [2]. Retail lending and payments face incremental pressure from digital-first fintech and AI-powered underwriting, but this is modest erosion risk against an otherwise heavily moated, license-protected franchise with $1.5T in assets. AI Opportunity (0/1): AI tools are described as improving internal efficiency and decision-making, but no specific quantified AI-attributable revenue or cost-savings figure was disclosed, so the tiebreaker point is not awarded.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Bank of Nova Scotia Q3 FY2026 Earnings — Record EPS $2.28 (+21% YoY), ROE 14.2%, Revenue $10,535M (+16%), Net Income $2,953M, All Segments Profitable, Yahoo Finance and GuruFocus, August 2026</w:t>
      </w:r>
    </w:p>
    <w:p>
      <w:pPr>
        <w:spacing w:before="20" w:after="20"/>
        <w:ind w:left="170"/>
      </w:pPr>
      <w:r>
        <w:rPr>
          <w:rFonts w:ascii="Calibri" w:hAnsi="Calibri"/>
          <w:b/>
          <w:color w:val="4A6B25"/>
          <w:sz w:val="15"/>
        </w:rPr>
        <w:t xml:space="preserve">2. </w:t>
      </w:r>
      <w:r>
        <w:rPr>
          <w:rFonts w:ascii="Calibri" w:hAnsi="Calibri"/>
          <w:b w:val="0"/>
          <w:color w:val="3A4A28"/>
          <w:sz w:val="17"/>
        </w:rPr>
        <w:t>Scotiabank Leadership and AI Strategy — CEO Scott Thomson (North American Refocus), Scotia Intelligence AI Platform, AI-kathon (300+ employees), Data Ethics Policy, Elbit ESG Divestment, Compliance Staff Terminations, Globe and Mail,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Dividend.com — BNS Key Statistics: NYSE Price $80.00, Forward P/E 12.36x, D/E 54%, ROE 14.2%, Dividend Yield 3.56%, 193-Year Dividend History,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