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BOBS</w:t>
      </w:r>
      <w:r>
        <w:rPr>
          <w:rFonts w:ascii="Calibri" w:hAnsi="Calibri"/>
          <w:b/>
          <w:color w:val="1A2010"/>
          <w:sz w:val="40"/>
        </w:rPr>
        <w:t xml:space="preserve">  Bob's Discount Furniture, Inc.</w:t>
      </w:r>
    </w:p>
    <w:p>
      <w:pPr>
        <w:spacing w:after="120"/>
      </w:pPr>
      <w:r>
        <w:rPr>
          <w:rFonts w:ascii="Calibri" w:hAnsi="Calibri"/>
          <w:b/>
          <w:color w:val="6E8450"/>
          <w:sz w:val="18"/>
        </w:rPr>
        <w:t>GROWTH SLEEVE · 2026-09-15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United States</w:t>
      </w:r>
    </w:p>
    <w:p>
      <w:pPr>
        <w:spacing w:after="80"/>
      </w:pPr>
      <w:r>
        <w:rPr>
          <w:rFonts w:ascii="Calibri" w:hAnsi="Calibri"/>
          <w:b w:val="0"/>
          <w:color w:val="3A4A28"/>
          <w:sz w:val="20"/>
        </w:rPr>
        <w:t>Bob's Discount Furniture is a value-oriented home furnishings retailer operating 209 stores across 26 U.S. states, offering living room, bedroom, dining room, and mattress products through retail stores and eCommerce channels. Founded in 1991 by Bob Kaufman in Manchester, Connecticut, the company was previously owned by Bain Capital and IPO'd in January 2026. Under CEO Bill Barton (since October 2020), Bob's delivered FY2025 revenue of $2.37B (+16.8% YoY) with 7.7% comparable sales growth and plans to open approximately 20 stores annually toward a 500+ store target by 2035.</w:t>
      </w:r>
    </w:p>
    <w:p>
      <w:r>
        <w:rPr>
          <w:rFonts w:ascii="Calibri" w:hAnsi="Calibri"/>
          <w:b/>
          <w:color w:val="6E8450"/>
          <w:sz w:val="18"/>
        </w:rPr>
        <w:t>5,950 Employees · https://www.mybobs.com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Bob's expanded from 189 to 209 stores in FY2025, entering 5 new states, and grew revenue 16.8% to $2.37B through a combination of new store openings and 7.7% comparable sales growth [2]. The Omnicart digital shopping platform integrated online and in-store shopping, contributing to eCommerce traffic growth. However, these achievements represent operational execution and geographic expansion of an existing retail model rather than product innovation, market pivots, or business model transformation. AI Deployment (0/2): No evidence of AI-powered products, AI-driven customer experiences, or quantified AI operational improvements was identified. The company's technology investments focus on the Omnicart eCommerce platform and sales force efficiency tools, but these are not specifically AI-driven [1]. Market Share (1/2): Bob's is gaining share in the $150B+ U.S. furniture market while peers struggle — Q1 FY2026 revenue grew 8.5% YoY while the broader home furnishings sector declined [1]. However, Bob's remains a mid-tier player with ~1.5% market share, far from category leadership held by Ashley, IKEA, and Wayfair. Product Pipeline (0/2): The company plans ~20 new stores annually toward 500+ by 2035, providing long-term unit growth visibility [1]. However, store openings are not product pipeline in the innovation sense — no next-generation retail formats, product categories, or technology platforms with specific launch dates were identified. R&amp;D Intensity (0/1): Retail furniture chains do not report R&amp;D expenditures.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Bob's Discount Furniture was founded with a clear purpose of providing quality home furnishings at affordable prices for everyday families, backed by a distinctive brand identity — the Bob character, free ice cream and cookies in stores, and a friendly customer experience that differentiates from sterile big-box competitors [3]. CEO Bill Barton emphasizes 'stewardship of culture' as a core leadership responsibility, connecting operational decisions to the company's founding values [3]. The purpose is clear and genuine but does not articulate a transformative vision beyond value retail. Community Impact (1/2): Bob's donates $2.5 million annually to nonprofits and schools in its operating communities, and joined the EPA's SmartWay Transport Partnership in 2023, reducing energy consumption 8% despite opening new stores [4]. These represent meaningful general corporate philanthropy with specific dollar amounts, though not distinctive foundation-level investment. Employee Retention (0/2): Bob's was recognized by Newsweek's America's Greatest Workplaces for Diversity 2023 [3], but no specific voluntary turnover rates, average employee tenure, or retention data distinguishing the company from retail industry averages was identified. Insider Buying (1/2): Multiple executives purchased shares at $12-17 following the January 2026 IPO, including a $302K purchase at $12.17-$13.56 and several directors buying at $17.00 [5]. While the Bain Capital sponsors sold large blocks at $20.08 (standard PE distribution), the executive buying signals personal conviction in the post-IPO trajectory.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the Growth stock algorithm with ROE and PEG excluded (unavailable from yfinance). Forward P/E of 15.27x is well below the 20x target, reflecting value pricing for a furniture retailer in a challenging housing market [5]. Revenue growth YoY of 8.8% (Q1 FY2026) narrowly misses the 10% target, though FY2025 growth was 16.8% [1][2]. Five-year revenue CAGR of approximately 5% (estimated from $2.0-2.1B circa FY2022-2023 to $2.37B in FY2025) falls below the 10% target, reflecting flat revenue during FY2023-FY2024 before the FY2025 acceleration. D/E of 168.25% is elevated (score 0.57), reflecting leveraged buyout financing from Bain Capital ownership — this is structural LBO debt rather than operational leverage [5]. Profit margin of 5.43% is the largest drag, scoring only 0.27 against the 20% target — a structural limitation of physical furniture retail with high COGS, store operating costs, and delivery expenses. Liquidity floor easily cleared at ~$15.4M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Bob's Discount Furniture demonstrates mostly finite game characteristics through Sinek's lens. The company has a genuine founding purpose around affordable furniture for everyday families, and CEO Bill Barton emphasizes culture stewardship. The continued store opening investment during a challenging housing market shows some long-term thinking. However, the company is still very early in its public company life (IPO January 2026), the competitive strategy centers on growth metrics and store count targets rather than purpose-driven endurance, and the PE sponsor overhang (Bain Capital) creates inherent tension between long-term building and near-term financial engineering.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Bob Kaufman's founding vision — affordable quality furniture with a fun, accessible shopping experience — is a genuine cause that has shaped the company for 35 years [3]. The brand identity (Bob's character, ice cream in stores, friendly service) creates an emotional connection beyond transactional retail. CEO Bill Barton's emphasis on 'stewardship of culture' suggests the cause is referenced in leadership decisions. However, 'affordable furniture' is more of a business strategy than a Just Cause in Sinek's sense — it does not describe a future state that does not yet exist, and many competitors make similar accessibility claims. The purpose has not been tested through multi-decade crisis or required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Bob's was recognized by Newsweek's America's Greatest Workplaces for Diversity 2023, and CEO Barton's focus on culture stewardship suggests organizational attention to employee experience [3]. The 5,950-person workforce supports 209 stores, implying lean staffing typical of value retail. However, no specific voluntary turnover rates, average tenure data, or evidence of exceptional employee empowerment or psychological safety was identified to distinguish Bob's from retail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Bob's competitive framing is finite-minded, centered on market share gains relative to peers ('defies wider sector trends'), store count targets (500+ by 2035), and growth metrics [1]. No evidence was found of management commentary acknowledging competitors' strengths (IKEA's design, Wayfair's technology, Ashley's scale) as motivation for self-improvement or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Bob's has followed the same basic business model since founding — physical retail stores selling affordable furniture. The addition of eCommerce (Omnicart) and geographic expansion from New England to 26 states represent incremental evolution, not transformative reinvention [1][2]. The company has not abandoned or fundamentally changed its core approach, and at 35 years old with a recently completed IPO, it is executing a proven playbook rather than demonstrating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Bob's continued investing in 20 new store openings per year during a challenging housing and furniture market when competitors pulled back, choosing long-term growth over short-term margin preservation [1][2]. The decision to IPO in January 2026 amid market volatility and to reaffirm aggressive growth guidance ($2.6-2.63B revenue, 20 new stores) shows conviction. However, these decisions are within the bounds of conventional retail growth strategy, and the PE sponsor (Bain Capital) ownership structure creates financial incentives that may not align with long-term building over multiple decades.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Bob's Discount Furniture at 15.27x forward earnings is a compelling unit growth story in value furniture retail — the company has a clear path from 209 stores to 500+ by 2035, representing ~10% annual unit growth, with each new store contributing incremental revenue on a proven four-wall economics model [1][2]. FY2025 revenue of $2.37B (+16.8% YoY) and 7.7% comparable sales growth demonstrate the brand resonates with value-conscious consumers in a challenging housing market. Q1 FY2026 maintained momentum with 8.5% revenue growth to $578.1M and positive 1.2% comps despite severe weather headwinds. The Omnicart digital platform enhances the omnichannel experience, and management's full-year guidance of $2.6-2.63B revenue with 1.5-2.5% comp growth provides earnings visibility. Multiple executive insider purchases at $12-17 post-IPO signal management conviction [5]. JPMorgan initiated coverage at Overweight, validating the institutional growth thesis.</w:t>
      </w:r>
    </w:p>
    <w:p>
      <w:pPr>
        <w:spacing w:after="120"/>
      </w:pPr>
      <w:r>
        <w:rPr>
          <w:rFonts w:ascii="Calibri" w:hAnsi="Calibri"/>
          <w:b w:val="0"/>
          <w:color w:val="3A4A28"/>
          <w:sz w:val="20"/>
        </w:rPr>
        <w:t>The bear case centers on margin structure, housing cyclicality, and PE sponsor overhang. Profit margin of 5.43% reflects the structural limitations of physical furniture retail — high COGS, store operating costs, delivery logistics, and competitive pricing pressure create a narrow margin corridor that new store openings cannot widen [5]. D/E of 168.25% reflects Bain Capital's leveraged buyout financing rather than operational leverage, and debt service constrains free cash flow available for growth investment. Furniture demand is tied to housing activity — existing home sales, household formation, and consumer confidence — all of which face headwinds from elevated mortgage rates and affordability challenges [1]. The recent IPO (January 2026) means limited public market track record, and Bain Capital's remaining ownership stake creates overhang risk from future secondary offerings (three blocks of 2.9M shares were sold at $20.08 immediately post-IPO [5]). Five-year revenue CAGR of ~5% is below IOWN's 10% target, and comp sales decelerated from 7.7% in FY2025 to 1.2% in Q1 FY2026, suggesting the organic growth engine is cooling. The stock trades at $16.15, below the $17 IPO price, indicating market skepticism about near-term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execution on the 500+ store expansion roadmap with ~20 annual openings, providing high-visibility unit growth through 2035 with proven four-wall economics in new markets [1]</w:t>
      </w:r>
    </w:p>
    <w:p>
      <w:pPr>
        <w:spacing w:before="40" w:after="40"/>
        <w:ind w:left="283"/>
      </w:pPr>
      <w:r>
        <w:rPr>
          <w:rFonts w:ascii="Calibri" w:hAnsi="Calibri"/>
          <w:b/>
          <w:color w:val="4A6B25"/>
          <w:sz w:val="20"/>
        </w:rPr>
        <w:t xml:space="preserve">2. </w:t>
      </w:r>
      <w:r>
        <w:rPr>
          <w:rFonts w:ascii="Calibri" w:hAnsi="Calibri"/>
          <w:b w:val="0"/>
          <w:color w:val="3A4A28"/>
          <w:sz w:val="20"/>
        </w:rPr>
        <w:t>Housing market recovery driven by Fed rate cuts and increased existing home sales, which would accelerate furniture replacement demand and drive comparable sales growth above the 1.5-2.5% guidance range [2]</w:t>
      </w:r>
    </w:p>
    <w:p>
      <w:pPr>
        <w:spacing w:before="40" w:after="40"/>
        <w:ind w:left="283"/>
      </w:pPr>
      <w:r>
        <w:rPr>
          <w:rFonts w:ascii="Calibri" w:hAnsi="Calibri"/>
          <w:b/>
          <w:color w:val="4A6B25"/>
          <w:sz w:val="20"/>
        </w:rPr>
        <w:t xml:space="preserve">3. </w:t>
      </w:r>
      <w:r>
        <w:rPr>
          <w:rFonts w:ascii="Calibri" w:hAnsi="Calibri"/>
          <w:b w:val="0"/>
          <w:color w:val="3A4A28"/>
          <w:sz w:val="20"/>
        </w:rPr>
        <w:t>Operating leverage from scale as the store base crosses 250-300 units, potentially improving the 5.4% profit margin through distribution network density, procurement scale, and fixed cost absorption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 sales deceleration from 7.7% in FY2025 to 1.2% in Q1 FY2026 suggests the organic growth engine is cooling, and sustained low-single-digit comps would pressure margins and the growth narrative given the 15x forward P/E [1]</w:t>
      </w:r>
    </w:p>
    <w:p>
      <w:pPr>
        <w:spacing w:before="40" w:after="40"/>
        <w:ind w:left="283"/>
      </w:pPr>
      <w:r>
        <w:rPr>
          <w:rFonts w:ascii="Calibri" w:hAnsi="Calibri"/>
          <w:b/>
          <w:color w:val="4A6B25"/>
          <w:sz w:val="20"/>
        </w:rPr>
        <w:t xml:space="preserve">2. </w:t>
      </w:r>
      <w:r>
        <w:rPr>
          <w:rFonts w:ascii="Calibri" w:hAnsi="Calibri"/>
          <w:b w:val="0"/>
          <w:color w:val="3A4A28"/>
          <w:sz w:val="20"/>
        </w:rPr>
        <w:t>Bain Capital secondary offering overhang — the PE sponsor sold 8.75M shares at $20.08 post-IPO and likely retains a significant stake, with future distributions potentially creating persistent selling pressure on the stock [5]</w:t>
      </w:r>
    </w:p>
    <w:p>
      <w:pPr>
        <w:spacing w:before="40" w:after="40"/>
        <w:ind w:left="283"/>
      </w:pPr>
      <w:r>
        <w:rPr>
          <w:rFonts w:ascii="Calibri" w:hAnsi="Calibri"/>
          <w:b/>
          <w:color w:val="4A6B25"/>
          <w:sz w:val="20"/>
        </w:rPr>
        <w:t xml:space="preserve">3. </w:t>
      </w:r>
      <w:r>
        <w:rPr>
          <w:rFonts w:ascii="Calibri" w:hAnsi="Calibri"/>
          <w:b w:val="0"/>
          <w:color w:val="3A4A28"/>
          <w:sz w:val="20"/>
        </w:rPr>
        <w:t>Housing market sensitivity — Bob's revenue is tied to housing turnover and consumer discretionary spending, and elevated mortgage rates above 6.5% continue to suppress existing home sales and furniture replacement demand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Furniture retail has meaningful structural protection from AI disruption — consumers need to physically evaluate comfort, quality, and aesthetics of furniture before purchasing large-ticket items, and Bob's in-store experience (branded showrooms, ice cream, hands-on product testing) creates engagement that AI cannot replicate [3]. The delivery, assembly, and installation logistics involve physical-world operations resistant to AI displacement. Bob's value positioning (affordable furniture for everyday families) is protected because price-sensitive customers are less likely to adopt premium AI-driven alternatives. However, AI-powered visual merchandising, AR/VR room planning tools, and personalized recommendations could enhance competitors like Wayfair and IKEA, and AI-optimized supply chains could reduce the cost advantage that defines Bob's value proposition. AI Opportunity (0/1): No AI-derived revenue identified. The company's technology investments focus on eCommerce platform optimization and sales force tools, not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Bob's Discount Furniture Q1 FY2026 Earnings — Net Revenue $578.1M (+8.5% YoY), Comp Sales +1.2%, Full-Year Guidance $2.6-2.63B Revenue, 1.5-2.5% Comp Growth, ~20 New Stores Planned, June 2026</w:t>
      </w:r>
    </w:p>
    <w:p>
      <w:pPr>
        <w:spacing w:before="20" w:after="20"/>
        <w:ind w:left="170"/>
      </w:pPr>
      <w:r>
        <w:rPr>
          <w:rFonts w:ascii="Calibri" w:hAnsi="Calibri"/>
          <w:b/>
          <w:color w:val="4A6B25"/>
          <w:sz w:val="15"/>
        </w:rPr>
        <w:t xml:space="preserve">2. </w:t>
      </w:r>
      <w:r>
        <w:rPr>
          <w:rFonts w:ascii="Calibri" w:hAnsi="Calibri"/>
          <w:b w:val="0"/>
          <w:color w:val="3A4A28"/>
          <w:sz w:val="17"/>
        </w:rPr>
        <w:t>Bob's Discount Furniture FY2025 Earnings — Net Revenue $2.37B (+16.8% YoY), Comp Sales +7.7%, 20 New Stores Opened, 209 Total Stores in 26 States, February 2026</w:t>
      </w:r>
    </w:p>
    <w:p>
      <w:pPr>
        <w:spacing w:before="20" w:after="20"/>
        <w:ind w:left="170"/>
      </w:pPr>
      <w:r>
        <w:rPr>
          <w:rFonts w:ascii="Calibri" w:hAnsi="Calibri"/>
          <w:b/>
          <w:color w:val="4A6B25"/>
          <w:sz w:val="15"/>
        </w:rPr>
        <w:t xml:space="preserve">3. </w:t>
      </w:r>
      <w:r>
        <w:rPr>
          <w:rFonts w:ascii="Calibri" w:hAnsi="Calibri"/>
          <w:b w:val="0"/>
          <w:color w:val="3A4A28"/>
          <w:sz w:val="17"/>
        </w:rPr>
        <w:t>Bob's Discount Furniture CEO and Culture — Bill Barton (CEO since Oct 2020), Culture Stewardship Focus, Newsweek Greatest Workplaces for Diversity 2023, Furniture Industry Leadership Award — Total Retail/BusinessWire, 2023-2026</w:t>
      </w:r>
    </w:p>
    <w:p>
      <w:pPr>
        <w:spacing w:before="20" w:after="20"/>
        <w:ind w:left="170"/>
      </w:pPr>
      <w:r>
        <w:rPr>
          <w:rFonts w:ascii="Calibri" w:hAnsi="Calibri"/>
          <w:b/>
          <w:color w:val="4A6B25"/>
          <w:sz w:val="15"/>
        </w:rPr>
        <w:t xml:space="preserve">4. </w:t>
      </w:r>
      <w:r>
        <w:rPr>
          <w:rFonts w:ascii="Calibri" w:hAnsi="Calibri"/>
          <w:b w:val="0"/>
          <w:color w:val="3A4A28"/>
          <w:sz w:val="17"/>
        </w:rPr>
        <w:t>Bob's Discount Furniture ESG — $2.5M Annual Community Donations, SmartWay Transport Partnership (EPA), 8% Energy Reduction Despite Store Openings, Social Compliance Audits — mybobs.com/SEC Filings, 2023-2026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BOBS Key Statistics: Forward P/E 15.27x, D/E 168.25%, Profit Margin 5.43%, Revenue Growth 8.8%, EPS Growth 38.7%, Stock Price $16.15,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