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BORR</w:t>
      </w:r>
      <w:r>
        <w:rPr>
          <w:rFonts w:ascii="Calibri" w:hAnsi="Calibri"/>
          <w:b/>
          <w:color w:val="1A2010"/>
          <w:sz w:val="40"/>
        </w:rPr>
        <w:t xml:space="preserve">  Borr Drilling Limited</w:t>
      </w:r>
    </w:p>
    <w:p>
      <w:pPr>
        <w:spacing w:after="120"/>
      </w:pPr>
      <w:r>
        <w:rPr>
          <w:rFonts w:ascii="Calibri" w:hAnsi="Calibri"/>
          <w:b/>
          <w:color w:val="6E8450"/>
          <w:sz w:val="18"/>
        </w:rPr>
        <w:t>GROWTH SLEEVE · 2026-10-14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Drilling · NYQ · Bermuda</w:t>
      </w:r>
    </w:p>
    <w:p>
      <w:pPr>
        <w:spacing w:after="80"/>
      </w:pPr>
      <w:r>
        <w:rPr>
          <w:rFonts w:ascii="Calibri" w:hAnsi="Calibri"/>
          <w:b w:val="0"/>
          <w:color w:val="3A4A28"/>
          <w:sz w:val="20"/>
        </w:rPr>
        <w:t>Borr Drilling Limited is an offshore drilling contractor operating one of the world's largest fleets of modern jack-up rigs. The company provides drilling services to oil and gas operators globally, with operations spanning the Middle East, Southeast Asia, West Africa, and the North Sea. Borr reported Q1 2026 revenue of $247M (down 4.8% QoQ) with a net loss of $29M and adjusted EBITDA of $88.5M. The fleet expanded through the acquisition of five rigs from Noble Corporation, and total Dayrate Equivalent Backlog stood at $1.13B as of mid-2026.</w:t>
      </w:r>
    </w:p>
    <w:p>
      <w:r>
        <w:rPr>
          <w:rFonts w:ascii="Calibri" w:hAnsi="Calibri"/>
          <w:b/>
          <w:color w:val="6E8450"/>
          <w:sz w:val="18"/>
        </w:rPr>
        <w:t>3,200 Employees · https://borrdrilling.com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Borr executed a significant fleet expansion through the acquisition of five rigs from Noble Corporation, consolidating its position as one of the largest modern jack-up operators globally, but this represents M&amp;A-driven growth rather than product innovation or business model transformation [1]. AI Deployment (0/2): No evidence of AI-powered products, smart drilling systems, or AI-driven operational efficiencies deployed with measurable results. Market Share (1/2): Borr is a meaningful player in the modern jack-up segment with global marketed utilization for modern jack-ups at 90.1% as of June 2026, and the company secured 21 contract commitments totaling approximately 4,350 days and $541M of Dayrate Equivalent Backlog year-to-date [1][2]. Product Pipeline (0/2): Jack-up drilling rigs are mature technology with no next-generation product pipeline; competitive differentiation comes from fleet age, operational efficiency, and geographic positioning rather than technology development. R&amp;D Intensity (0/1): Offshore drilling contractors do not invest meaningfully in R&amp;D as a percentage of revenue relative to technology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Borr Drilling's tagline 'Built to make a difference' is generic and interchangeable with any industrial services company; the company's about page describes operational capabilities and fleet quality rather than articulating a distinctive purpose beyond providing drilling services for profit [3]. Community Impact (0/2): The 2024 sustainability report describes a jack-up rig upgraded to run on renewable offshore power and CDP Climate and Water B scores, but no evidence of charitable programs, foundation activity, or community investment beyond environmental compliance [4]. Employee Retention (0/2): No publicly available data on voluntary turnover or average tenure; the Nautilus union accused the firm of financial mismanagement related to 70 job cuts across two rigs and a Dutch office, signaling labor relations friction [4]. Insider Buying (0/2): No evidence of meaningful net insider buying by CEO Bruno Morand, Executive Chairman Patrick Schorn,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Borr Drilling's financials reflect the capital-intensive, cyclical nature of offshore drilling with nearly every metric below target. D/E of 258.6% sits near the 300% floor (score 0.18), reflecting the heavy debt load from fleet acquisitions including the Noble rig purchase [1]. ROE of -24.7% is below the 0% floor (score 0.0, 2x weight), driven by the Q1 2026 net loss of $29M exacerbated by an $8.4M credit loss provision and lower dayrates [1]. Revenue growth of -13.2% YoY approaches the -20% floor (score 0.23), impacted by $10.4M lower reimbursable expenses and fewer operating days [1]. Forward P/E of 59.3 sits at the 60 floor (score 0.02), and profit margin of -24.0% is below the 0% floor (score 0.0). PEG ratio and 5-year revenue CAGR are unavailable. Daily dollar volume of $29.1M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Borr Drilling operates primarily as a finite player focused on fleet utilization, dayrate optimization, and financial returns in a cyclical commodity services industry. The company has executed a smooth CEO succession and strategic fleet expansion, but lacks an articulated Just Cause beyond drilling for profit. The offshore drilling industry's boom-bust cycles incentivize short-term optimization over infinite game thinking, though Borr's disciplined fleet growth through the Noble acquisition shows some strategic patience.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Borr Drilling exists to operate jack-up rigs and generate returns for shareholders in the offshore drilling market. The company's tagline 'Built to make a difference' is not supported by strategic decisions traceable to a deeper purpose — fleet acquisitions, cost management, and dayrate optimization are financially motivated rather than cause-driven [3]. No evidence of a vision that transcends the commodity drilling business.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internal promotion of Bruno Morand from Chief Commercial Officer to CEO, with Patrick Schorn moving to Executive Chairman, demonstrates organizational trust and leadership continuity — a 20-year industry veteran promoted from within [3]. Chairman Tor Olav Troim credited the development of a 'world-class leadership team.' However, the Nautilus union dispute over 70 job cuts and accusations of financial mismanagement represent a trust deficit with frontline workers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Borr frames its competitive relationship with major jack-up peers like Valaris, Noble, and ADES. Management commentary focuses on market dynamics and contract wins rather than learning from competitors' strengths or acknowledging rival excellence.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Borr evolved from a start-up drilling company founded in 2017 to one of the world's largest modern jack-up operators through aggressive acquisitions, including the five-rig Noble purchase and strategic positioning in premium modern assets while older rigs are retired from the global fleet [1][2]. This represents meaningful strategic evolution, though the company has not fundamentally reinvented its business model beyond fleet scaling.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Borr made the strategic decision to acquire five Noble rigs during a period of market uncertainty, betting on a cyclical recovery in jack-up demand and modern fleet premium [1]. The planned CEO succession — promoting internally rather than hiring externally — demonstrated institutional confidence. However, the $29M Q1 2026 net loss and high leverage at 258.6% D/E suggest the fleet expansion bet has yet to deliver returns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Borr Drilling at $4.80 with a $1.48B market cap operates one of the largest modern jack-up fleets globally, with a $1.13B backlog providing 4.6 quarters of revenue visibility and 21 contract commitments secured year-to-date totaling $541M in Dayrate Equivalent Backlog [1][2]. The bull case centers on management's expectation that market dynamics will improve in H2 2026 with a recovery in dayrates and earnings visibility into 2027, modern fleet premiums over legacy rigs as the global jack-up fleet ages (marketed utilization at 90.1% for modern rigs), and growing energy demand from AI data centers supporting long-term hydrocarbon production investment. Technical utilization of 98.4% in Q2 2026 demonstrates operational excellence in rig management [2].</w:t>
      </w:r>
    </w:p>
    <w:p>
      <w:pPr>
        <w:spacing w:after="120"/>
      </w:pPr>
      <w:r>
        <w:rPr>
          <w:rFonts w:ascii="Calibri" w:hAnsi="Calibri"/>
          <w:b w:val="0"/>
          <w:color w:val="3A4A28"/>
          <w:sz w:val="20"/>
        </w:rPr>
        <w:t>The bear case is dominated by financial fragility and cyclical risk. D/E of 258.6% reflects the heavy debt burden from fleet acquisitions, ROE of -24.7% and profit margin of -24.0% show the company is destroying capital, and the Q1 2026 net loss of $29M included an $8.4M credit loss provision signaling counterparty risk [1]. Revenue declined 13.2% YoY and 4.8% QoQ, with management attributing weakness to lower reimbursable expenses, fewer operating days, and declining dayrates for some rigs. The Forward P/E of 59.3 prices in recovery that has not materialized. TTM book-to-bill of approximately 1.1 is adequate but not accelerating, and 2026 H2 coverage at only 48% versus 80% for H1 leaves significant revenue uncertainty [2]. The offshore drilling industry remains structurally cyclical, and any softening in oil prices or E&amp;P capex budgets could extend the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Management expects H2 2026 market improvement with dayrate recovery and earnings visibility into 2027, supported by Middle East and Southeast Asian tenders that could fill the 48% uncovered H2 2026 capacity [2]</w:t>
      </w:r>
    </w:p>
    <w:p>
      <w:pPr>
        <w:spacing w:before="40" w:after="40"/>
        <w:ind w:left="283"/>
      </w:pPr>
      <w:r>
        <w:rPr>
          <w:rFonts w:ascii="Calibri" w:hAnsi="Calibri"/>
          <w:b/>
          <w:color w:val="4A6B25"/>
          <w:sz w:val="20"/>
        </w:rPr>
        <w:t xml:space="preserve">2. </w:t>
      </w:r>
      <w:r>
        <w:rPr>
          <w:rFonts w:ascii="Calibri" w:hAnsi="Calibri"/>
          <w:b w:val="0"/>
          <w:color w:val="3A4A28"/>
          <w:sz w:val="20"/>
        </w:rPr>
        <w:t>Modern jack-up fleet premium as legacy rigs retire — global marketed utilization at 87.4% for all jack-ups versus 90.1% for modern units creates a structural advantage for Borr's young fleet [2]</w:t>
      </w:r>
    </w:p>
    <w:p>
      <w:pPr>
        <w:spacing w:before="40" w:after="40"/>
        <w:ind w:left="283"/>
      </w:pPr>
      <w:r>
        <w:rPr>
          <w:rFonts w:ascii="Calibri" w:hAnsi="Calibri"/>
          <w:b/>
          <w:color w:val="4A6B25"/>
          <w:sz w:val="20"/>
        </w:rPr>
        <w:t xml:space="preserve">3. </w:t>
      </w:r>
      <w:r>
        <w:rPr>
          <w:rFonts w:ascii="Calibri" w:hAnsi="Calibri"/>
          <w:b w:val="0"/>
          <w:color w:val="3A4A28"/>
          <w:sz w:val="20"/>
        </w:rPr>
        <w:t>Growing global energy demand from AI data center buildout could support sustained E&amp;P capital expenditure and offshore drilling activity, benefiting modern fleet operators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258.6% and Q1 2026 net loss of $29M with $8.4M credit loss provision indicate financial stress from debt-funded fleet expansion that requires dayrate recovery to service — any prolonged cyclical downturn could pressure covenant compliance and liquidity [1]</w:t>
      </w:r>
    </w:p>
    <w:p>
      <w:pPr>
        <w:spacing w:before="40" w:after="40"/>
        <w:ind w:left="283"/>
      </w:pPr>
      <w:r>
        <w:rPr>
          <w:rFonts w:ascii="Calibri" w:hAnsi="Calibri"/>
          <w:b/>
          <w:color w:val="4A6B25"/>
          <w:sz w:val="20"/>
        </w:rPr>
        <w:t xml:space="preserve">2. </w:t>
      </w:r>
      <w:r>
        <w:rPr>
          <w:rFonts w:ascii="Calibri" w:hAnsi="Calibri"/>
          <w:b w:val="0"/>
          <w:color w:val="3A4A28"/>
          <w:sz w:val="20"/>
        </w:rPr>
        <w:t>Revenue declining 13.2% YoY with only 48% H2 2026 contract coverage leaves substantial uncertainty about near-term earnings trajectory, and lower dayrates for some rigs suggest competitive pricing pressure in a softening market [1][2]</w:t>
      </w:r>
    </w:p>
    <w:p>
      <w:pPr>
        <w:spacing w:before="40" w:after="40"/>
        <w:ind w:left="283"/>
      </w:pPr>
      <w:r>
        <w:rPr>
          <w:rFonts w:ascii="Calibri" w:hAnsi="Calibri"/>
          <w:b/>
          <w:color w:val="4A6B25"/>
          <w:sz w:val="20"/>
        </w:rPr>
        <w:t xml:space="preserve">3. </w:t>
      </w:r>
      <w:r>
        <w:rPr>
          <w:rFonts w:ascii="Calibri" w:hAnsi="Calibri"/>
          <w:b w:val="0"/>
          <w:color w:val="3A4A28"/>
          <w:sz w:val="20"/>
        </w:rPr>
        <w:t>Structural cyclicality in offshore drilling — E&amp;P capex budgets are driven by oil prices and OPEC+ policy, both outside Borr's control, and any reduction in exploration spending disproportionately impacts leveraged drillers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Offshore jack-up drilling is a physical operations business requiring capital equipment worth hundreds of millions of dollars per rig, specialized crews, and ocean-based operations that AI structurally cannot displace [1]. The process of drilling for hydrocarbons beneath the seabed involves massive mechanical infrastructure, safety-critical human judgment, and regulatory oversight that creates fundamental barriers to AI substitution. AI may enhance drilling optimization (predictive maintenance, wellbore trajectory analysis), but these applications increase Borr's operational efficiency rather than threatening the business model. Growing energy demand from AI data centers could increase long-term demand for hydrocarbon production, benefiting drilling contractors [2]. AI Opportunity (0/1): No evidence of AI-powered products or services generating revenue; the company's sustainability report mentions operational efficiency improvements but none tied to AI-specific revenue streams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Borr Drilling Q1 2026 Results — $247M Revenue, Net Loss $29M, Adjusted EBITDA $88.5M — SEC 6-K Filing, Energy-Pedia, Inderes, May 2026</w:t>
      </w:r>
    </w:p>
    <w:p>
      <w:pPr>
        <w:spacing w:before="20" w:after="20"/>
        <w:ind w:left="170"/>
      </w:pPr>
      <w:r>
        <w:rPr>
          <w:rFonts w:ascii="Calibri" w:hAnsi="Calibri"/>
          <w:b/>
          <w:color w:val="4A6B25"/>
          <w:sz w:val="15"/>
        </w:rPr>
        <w:t xml:space="preserve">2. </w:t>
      </w:r>
      <w:r>
        <w:rPr>
          <w:rFonts w:ascii="Calibri" w:hAnsi="Calibri"/>
          <w:b w:val="0"/>
          <w:color w:val="3A4A28"/>
          <w:sz w:val="17"/>
        </w:rPr>
        <w:t>Borr Drilling Q2 2026 Fleet Update — $1.04B Backlog (June 30), $1.13B at Report Date, Technical Utilization 98.4%, Global Marketed Jack-Up Utilization 87.4% — SEC 6-K Exhibit, August 2026</w:t>
      </w:r>
    </w:p>
    <w:p>
      <w:pPr>
        <w:spacing w:before="20" w:after="20"/>
        <w:ind w:left="170"/>
      </w:pPr>
      <w:r>
        <w:rPr>
          <w:rFonts w:ascii="Calibri" w:hAnsi="Calibri"/>
          <w:b/>
          <w:color w:val="4A6B25"/>
          <w:sz w:val="15"/>
        </w:rPr>
        <w:t xml:space="preserve">3. </w:t>
      </w:r>
      <w:r>
        <w:rPr>
          <w:rFonts w:ascii="Calibri" w:hAnsi="Calibri"/>
          <w:b w:val="0"/>
          <w:color w:val="3A4A28"/>
          <w:sz w:val="17"/>
        </w:rPr>
        <w:t>Borr Drilling CEO Succession — Bruno Morand Named CEO (September 2025), Patrick Schorn to Executive Chairman, Dan Rabun as Lead Independent Director — OE Digital, Upstream Online, 2025</w:t>
      </w:r>
    </w:p>
    <w:p>
      <w:pPr>
        <w:spacing w:before="20" w:after="20"/>
        <w:ind w:left="170"/>
      </w:pPr>
      <w:r>
        <w:rPr>
          <w:rFonts w:ascii="Calibri" w:hAnsi="Calibri"/>
          <w:b/>
          <w:color w:val="4A6B25"/>
          <w:sz w:val="15"/>
        </w:rPr>
        <w:t xml:space="preserve">4. </w:t>
      </w:r>
      <w:r>
        <w:rPr>
          <w:rFonts w:ascii="Calibri" w:hAnsi="Calibri"/>
          <w:b w:val="0"/>
          <w:color w:val="3A4A28"/>
          <w:sz w:val="17"/>
        </w:rPr>
        <w:t>Borr Drilling ESG and Labor — 2024 Sustainability Report (CDP Climate/Water B Scores, Renewable-Powered Rig), Nautilus Union Dispute Over 70 Job Cuts — KnowESG, EnergyVoice, Sevva.ai, 2024-2025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