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BOXL</w:t>
      </w:r>
      <w:r>
        <w:rPr>
          <w:rFonts w:ascii="Calibri" w:hAnsi="Calibri"/>
          <w:b/>
          <w:color w:val="1A2010"/>
          <w:sz w:val="40"/>
        </w:rPr>
        <w:t xml:space="preserve">  Boxlight Corporation</w:t>
      </w:r>
    </w:p>
    <w:p>
      <w:pPr>
        <w:spacing w:after="120"/>
      </w:pPr>
      <w:r>
        <w:rPr>
          <w:rFonts w:ascii="Calibri" w:hAnsi="Calibri"/>
          <w:b/>
          <w:color w:val="6E8450"/>
          <w:sz w:val="18"/>
        </w:rPr>
        <w:t>GROWTH SLEEVE · 2026-10-14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Consumer Electronics · NMS · United States</w:t>
      </w:r>
    </w:p>
    <w:p>
      <w:pPr>
        <w:spacing w:after="80"/>
      </w:pPr>
      <w:r>
        <w:rPr>
          <w:rFonts w:ascii="Calibri" w:hAnsi="Calibri"/>
          <w:b w:val="0"/>
          <w:color w:val="3A4A28"/>
          <w:sz w:val="20"/>
        </w:rPr>
        <w:t>Boxlight Corporation designs, manufactures, and distributes interactive technology solutions for education and enterprise markets, including interactive displays, projectors, and audio systems under the Mimio and FrontRow brands. The company reported FY2025 revenue of $109.2M, down 19.6% from $135.9M in FY2024, and Q2 2026 revenue of $25.9M, down 16% YoY. Headquartered in Atlanta, Georgia, Boxlight carries a market capitalization of approximately $2.4M with $4.3M cash and negative $4.0M working capital.</w:t>
      </w:r>
    </w:p>
    <w:p>
      <w:r>
        <w:rPr>
          <w:rFonts w:ascii="Calibri" w:hAnsi="Calibri"/>
          <w:b/>
          <w:color w:val="6E8450"/>
          <w:sz w:val="18"/>
        </w:rPr>
        <w:t>350 Employees · https://boxlight.com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Boxlight launched the Symphony audio product line as a next-generation replacement for its classroom audio systems, representing a modest product refresh, but overall revenue declined 19.6% in FY2025 and 16% YoY in Q2 2026, indicating failed commercial execution on recent launches [1]. AI Deployment (0/2): No evidence of AI-powered products or AI-driven operational efficiencies in Boxlight's interactive display or audio platforms. Market Share (0/2): Boxlight is a small participant in the education technology market competing against much larger players (Promethean, SMART Technologies, BenQ, Epson), with declining revenue and a $2.4M market cap reflecting minimal competitive relevance [1]. Product Pipeline (1/2): The Symphony audio line is actively transitioning customers from legacy products, with management stating the audio slowdown is temporary and expecting global unit demand for 2026 to remain consistent with 2025, but no specific launch timelines or next-gen product roadmaps were provided [1]. R&amp;D Intensity (0/1): No publicly available R&amp;D spending data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Boxlight's focus on interactive technology for education is a clear market identity but does not articulate a distinctive purpose beyond selling classroom technology — the mission is interchangeable with any education technology provider and reads as a product description rather than an inspiring vision. Community Impact (0/2): No evidence of charitable programs, foundation activity, or community investment beyond product sales to education institutions. Employee Retention (0/2): No publicly available data on voluntary turnover or employee sentiment; the forced CEO departure of Michael Pope in January 2024 and subsequent interim period under Dale Strang signal leadership instability [2]. Insider Buying (0/2): No evidence of meaningful net insider buying by CEO Dale Strang, Chairman R. Wayne Jackson,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with extremely weak financial fundamentals across all measurable dimensions. ROE of -677.2% reflects catastrophic capital destruction driven by accumulated losses against minimal equity (score 0.0, 2x weight) [1]. Profit margin of -21.0% indicates the company is unprofitable at the operating level (score 0.0). Revenue declined 16% YoY in Q2 2026, scoring 0.13 against the -20% floor [1]. D/E, Forward P/E, PEG ratio, and 5-year revenue CAGR are all unavailable — Forward P/E is negative (-0.03) reflecting expected continued losses. The company ended Q2 2026 with only $4.3M cash, negative $4.0M working capital, and debt classified as short-term due to covenant waivers, creating near-term going concern risk [1]. Daily dollar volume of $3.5M on average passes the liquidity floor, though recent daily volume has fallen to approximately 18,000 shares ($50K daily value), suggesting severely deteriorated tradability.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Boxlight operates as a definitively finite player focused on short-term survival — the forced CEO departure, covenant waivers, negative working capital, and declining revenue indicate a company struggling to stay solvent rather than building to endure. No articulated Just Cause, no evidence of courageous long-term investment, and leadership instability create an environment antithetical to infinite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Boxlight exists to sell interactive technology products to education and enterprise customers. There is no articulated vision of a better future or purpose that transcends quarterly revenue targets. The company's public communications focus on product transitions and financial results rather than a cause worth sacrificing for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forced departure of CEO Michael Pope in January 2024 and subsequent interim period under Dale Strang, combined with covenant waivers and financial stress, signal organizational instability inconsistent with a high-trust environment [2]. No publicly available data on employee culture, voluntary turnover, or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Boxlight frames its competitive relationship with larger players like Promethean, SMART Technologies, Google, or Microsoft in the education technology space. The company's public communications do not reference learning from competitors or acknowledge rival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Boxlight has not demonstrated transformative strategic flexibility. The Symphony audio product transition is an incremental line extension, not a fundamental business model reinvention. Declining revenue and financial distress suggest the company lacks both the resources and the strategic vision to execute a meaningful pivot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results for future capability. The CEO transition was reactive (board-initiated departure), covenant waivers indicate defensive financial management, and declining revenue with negative working capital suggest the company is managing decline rather than investing through difficulty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Boxlight at $2.80 with a $2.4M market cap is an education technology company in acute financial distress, with FY2025 revenue declining 19.6% to $109.2M and Q2 2026 revenue down 16% YoY to $25.9M [1]. The bull case rests on the product transition to the Symphony audio line, Q2 2026 net income turning positive at $0.5M (vs -$4.7M loss year-ago), gross margin improvement to 49.8% (though partially from a tariff refund), and management's assertion that the audio slowdown is temporary as customers migrate to new products. The interactive display market for education remains large, and Boxlight's installed base across schools provides some switching cost protection.</w:t>
      </w:r>
    </w:p>
    <w:p>
      <w:pPr>
        <w:spacing w:after="120"/>
      </w:pPr>
      <w:r>
        <w:rPr>
          <w:rFonts w:ascii="Calibri" w:hAnsi="Calibri"/>
          <w:b w:val="0"/>
          <w:color w:val="3A4A28"/>
          <w:sz w:val="20"/>
        </w:rPr>
        <w:t>The bear case is severe: $4.3M cash against negative $4.0M working capital with debt covenant waivers suggests near-term going concern risk [1]. ROE of -677.2% reflects catastrophic capital destruction, the stock has declined approximately 96% over the past year, and the $2.4M market cap is below institutional investment thresholds. Revenue has contracted from $135.9M (FY2024) to $109.2M (FY2025) with Q2 2026 showing continued YoY declines. Competition from well-capitalized players — Promethean (acquired by Boxlight in 2018 for $25M then spun back), Google Classroom ecosystem, Microsoft Surface Hub, BenQ, and Epson — overwhelms a sub-$3M market cap company. The CEO transition from Pope to Strang was forced rather than strategic, and covenant waivers create debt refinancing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Symphony audio product line transition could stabilize revenue if customer migration completes successfully, with management expecting global unit demand for 2026 to remain consistent with 2025 [1]</w:t>
      </w:r>
    </w:p>
    <w:p>
      <w:pPr>
        <w:spacing w:before="40" w:after="40"/>
        <w:ind w:left="283"/>
      </w:pPr>
      <w:r>
        <w:rPr>
          <w:rFonts w:ascii="Calibri" w:hAnsi="Calibri"/>
          <w:b/>
          <w:color w:val="4A6B25"/>
          <w:sz w:val="20"/>
        </w:rPr>
        <w:t xml:space="preserve">2. </w:t>
      </w:r>
      <w:r>
        <w:rPr>
          <w:rFonts w:ascii="Calibri" w:hAnsi="Calibri"/>
          <w:b w:val="0"/>
          <w:color w:val="3A4A28"/>
          <w:sz w:val="20"/>
        </w:rPr>
        <w:t>Q2 2026 return to net income ($0.5M) and gross margin expansion to 49.8% suggest operational improvements could continue if revenue stabilizes [1]</w:t>
      </w:r>
    </w:p>
    <w:p>
      <w:pPr>
        <w:spacing w:before="40" w:after="40"/>
        <w:ind w:left="283"/>
      </w:pPr>
      <w:r>
        <w:rPr>
          <w:rFonts w:ascii="Calibri" w:hAnsi="Calibri"/>
          <w:b/>
          <w:color w:val="4A6B25"/>
          <w:sz w:val="20"/>
        </w:rPr>
        <w:t xml:space="preserve">3. </w:t>
      </w:r>
      <w:r>
        <w:rPr>
          <w:rFonts w:ascii="Calibri" w:hAnsi="Calibri"/>
          <w:b w:val="0"/>
          <w:color w:val="3A4A28"/>
          <w:sz w:val="20"/>
        </w:rPr>
        <w:t>Education technology spending recovery following post-pandemic budget normalization could benefit interactive display and audio system demand in K-12 and higher education institutions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Near-term going concern risk with $4.3M cash, negative $4.0M working capital, and debt covenant waivers — any failure to secure waivers or refinancing could trigger default and potential insolvency [1]</w:t>
      </w:r>
    </w:p>
    <w:p>
      <w:pPr>
        <w:spacing w:before="40" w:after="40"/>
        <w:ind w:left="283"/>
      </w:pPr>
      <w:r>
        <w:rPr>
          <w:rFonts w:ascii="Calibri" w:hAnsi="Calibri"/>
          <w:b/>
          <w:color w:val="4A6B25"/>
          <w:sz w:val="20"/>
        </w:rPr>
        <w:t xml:space="preserve">2. </w:t>
      </w:r>
      <w:r>
        <w:rPr>
          <w:rFonts w:ascii="Calibri" w:hAnsi="Calibri"/>
          <w:b w:val="0"/>
          <w:color w:val="3A4A28"/>
          <w:sz w:val="20"/>
        </w:rPr>
        <w:t>Revenue declining 16-20% annually with a $2.4M market cap eliminates access to institutional capital markets and analyst coverage, creating a liquidity death spiral where financial weakness prevents the investment needed to reverse revenue declines</w:t>
      </w:r>
    </w:p>
    <w:p>
      <w:pPr>
        <w:spacing w:before="40" w:after="40"/>
        <w:ind w:left="283"/>
      </w:pPr>
      <w:r>
        <w:rPr>
          <w:rFonts w:ascii="Calibri" w:hAnsi="Calibri"/>
          <w:b/>
          <w:color w:val="4A6B25"/>
          <w:sz w:val="20"/>
        </w:rPr>
        <w:t xml:space="preserve">3. </w:t>
      </w:r>
      <w:r>
        <w:rPr>
          <w:rFonts w:ascii="Calibri" w:hAnsi="Calibri"/>
          <w:b w:val="0"/>
          <w:color w:val="3A4A28"/>
          <w:sz w:val="20"/>
        </w:rPr>
        <w:t>Competition from Google, Microsoft, BenQ, Epson, and Promethean with vastly greater resources makes sustained competitive positioning nearly impossible for a company of Boxlight's scale, particularly as AI-enhanced education platforms shift budgets from hardware to software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Boxlight's core products — interactive displays, projectors, and classroom audio systems — are physical hardware that AI cannot directly replace, providing some structural protection [1]. Schools need physical equipment in classrooms regardless of AI advances. However, AI creates meaningful exposure through multiple vectors: AI-powered virtual learning platforms could reduce demand for physical classroom technology if hybrid/remote education scales; AI tutoring and adaptive learning software could shift education budgets from hardware to software; and AI-native classroom platforms from larger competitors (Google, Microsoft) could commoditize standalone interactive display makers. Boxlight's small scale ($2.4M market cap) leaves it unable to invest in AI integration while larger competitors embed AI features into competing products. AI Opportunity (0/1): No evidence of AI-powered products, AI-enhanced interactive displays, or AI-generated revenue in Boxlight's product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Boxlight Q2 2026 Earnings — $25.9M Revenue (-16% YoY), Net Income $0.5M, Gross Margin 49.8%, $4.3M Cash, Negative Working Capital — SEC 8-K,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Boxlight Leadership Changes — Dale Strang Named Permanent CEO After Michael Pope Departure, R. Wayne Jackson as Non-Executive Chairman — BusinessWire, Nasdaq, StockTitan, January 2024-2025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