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BPRE</w:t>
      </w:r>
      <w:r>
        <w:rPr>
          <w:rFonts w:ascii="Calibri" w:hAnsi="Calibri"/>
          <w:b/>
          <w:color w:val="1A2010"/>
          <w:sz w:val="40"/>
        </w:rPr>
        <w:t xml:space="preserve">  Bluerock Private Real Estate Fund</w:t>
      </w:r>
    </w:p>
    <w:p>
      <w:pPr>
        <w:spacing w:after="120"/>
      </w:pPr>
      <w:r>
        <w:rPr>
          <w:rFonts w:ascii="Calibri" w:hAnsi="Calibri"/>
          <w:b/>
          <w:color w:val="6E8450"/>
          <w:sz w:val="18"/>
        </w:rPr>
        <w:t>GROWTH SLEEVE · 2026-09-29 · Inspire: 0 · 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43</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Financial Services · Asset Management · NYSE · United States</w:t>
      </w:r>
    </w:p>
    <w:p>
      <w:pPr>
        <w:spacing w:after="80"/>
      </w:pPr>
      <w:r>
        <w:rPr>
          <w:rFonts w:ascii="Calibri" w:hAnsi="Calibri"/>
          <w:b w:val="0"/>
          <w:color w:val="3A4A28"/>
          <w:sz w:val="20"/>
        </w:rPr>
        <w:t>Bluerock Private Real Estate Fund is the only NYSE-listed closed-end fund offering dedicated access to private institutional real estate and the largest real estate-focused closed-end fund on the market. With approximately $3.2B in net assets as of August 2026, the fund maintains positions in 25 private equity and 17 private debt real estate investments with underlying assets valued at approximately $250B. Listed on the NYSE in December 2025 after converting from an interval fund structure, BPRE has raised its distribution rate four times to 7% annualized on NAV, and is actively rotating capital from legacy core+ holdings into high-growth, next-generation real estate sectors.</w:t>
      </w:r>
    </w:p>
    <w:p>
      <w:r>
        <w:rPr>
          <w:rFonts w:ascii="Calibri" w:hAnsi="Calibri"/>
          <w:b/>
          <w:color w:val="6E8450"/>
          <w:sz w:val="18"/>
        </w:rPr>
        <w:t>https://bluerock.com/bluerock-private-real-estate-fund/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(1/3): BPRE's conversion from a non-traded interval fund to an NYSE-listed closed-end fund in December 2025 created a structurally unique vehicle, though the listing triggered immediate investor losses as market price dropped well below NAV [1]. Four distribution increases in nine months demonstrate income execution, and management has begun rotating capital from legacy core+ into high-growth sectors including data centers and life sciences [2]. AI Deployment (0/2): No AI-powered analytics, portfolio optimization, or data-driven investment capabilities have been publicly disclosed; the fund operates a traditional private real estate investment model [1]. Market Share (1/2): Unique market position as the only NYSE-listed CEF providing dedicated private real estate access, differentiating structurally from public REITs and non-traded alternatives [1]. Pipeline (1/2): Approximately $700M in specialty real estate investments closed, under contract, or in pipeline, with strategic rotation toward next-generation sectors [2]. R&amp;D Intensity (0/1): Not applicable to a closed-end fund structure.</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(1/4): The fund's purpose — delivering institutional-quality private real estate access to a broader investor base — is functional but not inspirational, interchangeable with any income-focused investment vehicle [1]. Community Impact (0/2): No evidence of charitable programs, community development, or ESG-linked initiatives beyond standard real estate operations. Employee Retention (1/2): Founder and CEO Ramin Kamfar has led Bluerock since 2002, providing 24 years of leadership continuity [3]. However, Glassdoor reviews reveal a mixed to negative culture: reports of a 'mate culture' at the top protecting certain leaders from accountability, extremely high turnover attributed to burnout from upper management, toxic male-oriented attitudes among directors, and below-market compensation [3]. Insider Buying (0/2): No evidence of meaningful insider open-market stock purchases; four distribution increases since listing signal management confidence in the fund but not personal capital commitment.</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on limited available metrics for this closed-end fund structure. D/E of 15.08% is well below the 70% target, reflecting conservative fund-level leverage (score 1.0) [1]. However, profit margin registers at 0.0%, at the floor (score 0.0), as the fund's income is substantially distributed rather than retained [4]. Most standard operating metrics — ROE, forward P/E, PEG ratio, revenue growth — are either unavailable or structurally inapplicable to a closed-end fund. The stock trades at $12.49 against a reported NAV of approximately $23.65 as of March 2026, representing a roughly 47% discount to NAV — a significant red flag indicating deep market skepticism about underlying asset valuations [2]. NAV declined from $25.33 to $23.65 during the first six months of 2026 while distributions totaled only $0.67, meaning net capital erosion. Daily dollar volume of approximately $11.3M provides adequate liquidity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DC2626"/>
          <w:sz w:val="22"/>
        </w:rPr>
        <w:t>FINITE</w:t>
      </w:r>
      <w:r>
        <w:rPr>
          <w:rFonts w:ascii="Calibri" w:hAnsi="Calibri"/>
          <w:b w:val="0"/>
          <w:color w:val="6E8450"/>
          <w:sz w:val="22"/>
        </w:rPr>
        <w:t xml:space="preserve">      Overall: </w:t>
      </w:r>
      <w:r>
        <w:rPr>
          <w:rFonts w:ascii="Calibri" w:hAnsi="Calibri"/>
          <w:b/>
          <w:color w:val="B8860B"/>
          <w:sz w:val="28"/>
        </w:rPr>
        <w:t>4</w:t>
      </w:r>
      <w:r>
        <w:rPr>
          <w:rFonts w:ascii="Calibri" w:hAnsi="Calibri"/>
          <w:b w:val="0"/>
          <w:color w:val="9DAF88"/>
          <w:sz w:val="18"/>
        </w:rPr>
        <w:t xml:space="preserve"> /10</w:t>
      </w:r>
    </w:p>
    <w:p>
      <w:pPr>
        <w:spacing w:after="120"/>
      </w:pPr>
      <w:r>
        <w:rPr>
          <w:rFonts w:ascii="Calibri" w:hAnsi="Calibri"/>
          <w:b w:val="0"/>
          <w:color w:val="3A4A28"/>
          <w:sz w:val="18"/>
        </w:rPr>
        <w:t>Bluerock's 24-year operating history under founder Ramin Kamfar and its unique NYSE-listed CEF positioning suggest some institutional durability, but finite-game markers dominate: a 47% discount to NAV within the first year of listing, aggressive distribution increases that may prioritize short-term yield attractiveness over long-term capital preservation, Glassdoor reports of toxic upper management culture and high turnover, and strategic language centered on 'maximizing shareholder value' — the vocabulary of quarterly performance rather than enduring purpose.</w:t>
      </w:r>
    </w:p>
    <w:p>
      <w:pPr>
        <w:spacing w:before="200" w:after="40"/>
      </w:pPr>
      <w:r>
        <w:rPr>
          <w:rFonts w:ascii="Calibri" w:hAnsi="Calibri"/>
          <w:b/>
          <w:color w:val="1A2010"/>
          <w:sz w:val="22"/>
        </w:rPr>
        <w:t>Just Cause</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(1/3): Bluerock's purpose — providing retail investors access to institutional-quality private real estate — addresses a genuine market gap but is fundamentally a financial services value proposition rather than a transformative cause [1]. Four distribution increases in under a year prioritize short-term investor appeal over patient capital allocation. The fund's strategic roadmap focuses on 'rotating capital into high-growth, next generation real estate sectors' to 'maximize shareholder value,' which is standard investment management language, not a Just Cause [2].</w:t>
      </w:r>
    </w:p>
    <w:p>
      <w:pPr>
        <w:spacing w:before="200" w:after="40"/>
      </w:pPr>
      <w:r>
        <w:rPr>
          <w:rFonts w:ascii="Calibri" w:hAnsi="Calibri"/>
          <w:b/>
          <w:color w:val="1A2010"/>
          <w:sz w:val="22"/>
        </w:rPr>
        <w:t>Trusting Teams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(0/2): Glassdoor reviews present concerning patterns at Bluerock: employees report a 'mate culture' at the top where certain leaders are shielded from accountability, extremely high turnover attributed to burnout from upper management, toxic male-oriented attitudes among directors, and below-market compensation with insufficient benefits [3]. The externally managed fund structure means the fund entity itself has no direct employees, but the management company's culture directly impacts investment quality and governance.</w:t>
      </w:r>
    </w:p>
    <w:p>
      <w:pPr>
        <w:spacing w:before="200" w:after="40"/>
      </w:pPr>
      <w:r>
        <w:rPr>
          <w:rFonts w:ascii="Calibri" w:hAnsi="Calibri"/>
          <w:b/>
          <w:color w:val="1A2010"/>
          <w:sz w:val="22"/>
        </w:rPr>
        <w:t>Worthy Rivals</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No public evidence that Bluerock management benchmarks against competing private real estate vehicles (Blackstone BREIT, Starwood SREIT, KKR Real Estate) with a learning orientation. The positioning as 'the only NYSE-listed CEF' in this space suggests differentiation marketing rather than competitive self-improvement [1].</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The strategic rotation from legacy core+ holdings into next-generation real estate sectors — data centers, life sciences facilities, industrial logistics — demonstrates willingness to evolve the portfolio thesis in response to structural shifts in real estate demand [2]. The conversion from interval fund to NYSE-listed CEF was a meaningful structural change, though it resulted in immediate investor losses and market price erosion.</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The decision to list on NYSE in December 2025, converting from a non-traded interval fund to a public vehicle, demonstrated structural boldness that accepted near-term price volatility for permanent liquidity and market access [1]. The subsequent four distribution increases show commitment to building public market credibility. However, the aggressive distribution pace combined with declining NAV (from $25.33 to $23.65 in six months) suggests management may be prioritizing yield-driven retail demand over sustainable capital stewardship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BPRE occupies a unique structural niche as the only NYSE-listed closed-end fund dedicated to private real estate, offering access to a $3.2B portfolio of institutional-quality assets across 25 private equity and 17 private debt investments [1]. The 7% annualized distribution rate on NAV, increased four times since the December 2025 listing, provides attractive income, and D/E of just 15% reflects conservative fund-level leverage [2][4]. Management's strategic rotation from core+ to high-growth sectors like data centers and life sciences could position the fund for secular tailwinds from AI infrastructure demand and demographic shifts.</w:t>
      </w:r>
    </w:p>
    <w:p>
      <w:pPr>
        <w:spacing w:after="120"/>
      </w:pPr>
      <w:r>
        <w:rPr>
          <w:rFonts w:ascii="Calibri" w:hAnsi="Calibri"/>
          <w:b w:val="0"/>
          <w:color w:val="3A4A28"/>
          <w:sz w:val="20"/>
        </w:rPr>
        <w:t>The bear case is substantial. BPRE trades at a roughly 47% discount to its reported NAV of ~$23.65, suggesting the market deeply doubts the accuracy of private real estate valuations or the fund's ability to realize stated asset values [2]. NAV declined from $25.33 to $23.65 in the first six months of 2026, meaning investors received $0.67 in distributions but lost $1.68 in NAV — net destruction of capital. The aggressive distribution pace may be unsustainable if underlying real estate cash flows deteriorate. The fund's sub-one-year public track record provides insufficient transparency for confident fundamental analysis, and Glassdoor reviews indicating toxic management culture and high turnover at Bluerock raise governance concerns [3]. The interval-to-CEF conversion triggered investor lawsuits over immediate post-listing losses.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Strategic portfolio rotation into high-growth real estate sectors (data centers, life sciences, industrial) could drive NAV appreciation as AI infrastructure demand and demographic trends materialize [2]</w:t>
      </w:r>
    </w:p>
    <w:p>
      <w:pPr>
        <w:spacing w:before="40" w:after="40"/>
        <w:ind w:left="283"/>
      </w:pPr>
      <w:r>
        <w:rPr>
          <w:rFonts w:ascii="Calibri" w:hAnsi="Calibri"/>
          <w:b/>
          <w:color w:val="4A6B25"/>
          <w:sz w:val="20"/>
        </w:rPr>
        <w:t xml:space="preserve">2. </w:t>
      </w:r>
      <w:r>
        <w:rPr>
          <w:rFonts w:ascii="Calibri" w:hAnsi="Calibri"/>
          <w:b w:val="0"/>
          <w:color w:val="3A4A28"/>
          <w:sz w:val="20"/>
        </w:rPr>
        <w:t>Potential for NAV discount narrowing if market confidence in private real estate valuations improves, offering significant upside from the current ~47% discount [2]</w:t>
      </w:r>
    </w:p>
    <w:p>
      <w:pPr>
        <w:spacing w:before="40" w:after="40"/>
        <w:ind w:left="283"/>
      </w:pPr>
      <w:r>
        <w:rPr>
          <w:rFonts w:ascii="Calibri" w:hAnsi="Calibri"/>
          <w:b/>
          <w:color w:val="4A6B25"/>
          <w:sz w:val="20"/>
        </w:rPr>
        <w:t xml:space="preserve">3. </w:t>
      </w:r>
      <w:r>
        <w:rPr>
          <w:rFonts w:ascii="Calibri" w:hAnsi="Calibri"/>
          <w:b w:val="0"/>
          <w:color w:val="3A4A28"/>
          <w:sz w:val="20"/>
        </w:rPr>
        <w:t>Conservative 15% D/E ratio provides capacity for accretive leverage or acquisitions without balance sheet stress, supporting continued distribution growth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47% discount to NAV signals deep market skepticism about reported private real estate valuations — private marks are inherently lagged and may not reflect current conditions [2]</w:t>
      </w:r>
    </w:p>
    <w:p>
      <w:pPr>
        <w:spacing w:before="40" w:after="40"/>
        <w:ind w:left="283"/>
      </w:pPr>
      <w:r>
        <w:rPr>
          <w:rFonts w:ascii="Calibri" w:hAnsi="Calibri"/>
          <w:b/>
          <w:color w:val="4A6B25"/>
          <w:sz w:val="20"/>
        </w:rPr>
        <w:t xml:space="preserve">2. </w:t>
      </w:r>
      <w:r>
        <w:rPr>
          <w:rFonts w:ascii="Calibri" w:hAnsi="Calibri"/>
          <w:b w:val="0"/>
          <w:color w:val="3A4A28"/>
          <w:sz w:val="20"/>
        </w:rPr>
        <w:t>NAV declined from $25.33 to $23.65 in H1 2026 while distributions totaled only $0.67, indicating net capital erosion that aggressive yield marketing cannot mask [2]</w:t>
      </w:r>
    </w:p>
    <w:p>
      <w:pPr>
        <w:spacing w:before="40" w:after="40"/>
        <w:ind w:left="283"/>
      </w:pPr>
      <w:r>
        <w:rPr>
          <w:rFonts w:ascii="Calibri" w:hAnsi="Calibri"/>
          <w:b/>
          <w:color w:val="4A6B25"/>
          <w:sz w:val="20"/>
        </w:rPr>
        <w:t xml:space="preserve">3. </w:t>
      </w:r>
      <w:r>
        <w:rPr>
          <w:rFonts w:ascii="Calibri" w:hAnsi="Calibri"/>
          <w:b w:val="0"/>
          <w:color w:val="3A4A28"/>
          <w:sz w:val="20"/>
        </w:rPr>
        <w:t>Sub-one-year public track record, Glassdoor-reported toxic management culture, and investor lawsuits from the interval-to-CEF conversion create governance and reputational risk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(6/9): Private real estate as an asset class has strong insulation from AI disruption — physical properties, land, and buildings cannot be digitally replicated or substituted [1]. The fund's portfolio of 25 private equity and 17 private debt real estate investments represents ownership of tangible assets. However, AI-powered property valuation models, predictive analytics for tenant selection and rent optimization, and automated deal sourcing are shifting competitive advantages toward technology-enabled operators and funds. PropTech startups leveraging AI for real estate investment analysis could erode the informational edge of traditional fund managers. The fund's rotation into data center real estate could paradoxically benefit from AI-driven demand for compute infrastructure [2]. AI Opportunity (1/1): AI could enhance portfolio management through predictive maintenance analytics and automated due diligence, and increasing AI adoption across industries may drive demand for data center and specialty real estate in the fund's target sectors.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0</w:t>
      </w:r>
      <w:r>
        <w:rPr>
          <w:rFonts w:ascii="Calibri" w:hAnsi="Calibri"/>
          <w:b/>
          <w:color w:val="B8860B"/>
          <w:sz w:val="20"/>
        </w:rPr>
        <w:t xml:space="preserve">    MIXED</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Bluerock Private Real Estate Fund — CNBC, Yahoo Finance, GuruFocus, Fund Overview and SEC Filing Form N-CSRS, accessed September 2026</w:t>
      </w:r>
    </w:p>
    <w:p>
      <w:pPr>
        <w:spacing w:before="20" w:after="20"/>
        <w:ind w:left="170"/>
      </w:pPr>
      <w:r>
        <w:rPr>
          <w:rFonts w:ascii="Calibri" w:hAnsi="Calibri"/>
          <w:b/>
          <w:color w:val="4A6B25"/>
          <w:sz w:val="15"/>
        </w:rPr>
        <w:t xml:space="preserve">2. </w:t>
      </w:r>
      <w:r>
        <w:rPr>
          <w:rFonts w:ascii="Calibri" w:hAnsi="Calibri"/>
          <w:b w:val="0"/>
          <w:color w:val="3A4A28"/>
          <w:sz w:val="17"/>
        </w:rPr>
        <w:t>Bluerock Private Real Estate Fund Distribution Increase to 7% on NAV — PRNewswire, Blue Vault Partners, Nasdaq Press Release, May-September 2026</w:t>
      </w:r>
    </w:p>
    <w:p>
      <w:pPr>
        <w:spacing w:before="20" w:after="20"/>
        <w:ind w:left="170"/>
      </w:pPr>
      <w:r>
        <w:rPr>
          <w:rFonts w:ascii="Calibri" w:hAnsi="Calibri"/>
          <w:b/>
          <w:color w:val="4A6B25"/>
          <w:sz w:val="15"/>
        </w:rPr>
        <w:t xml:space="preserve">3. </w:t>
      </w:r>
      <w:r>
        <w:rPr>
          <w:rFonts w:ascii="Calibri" w:hAnsi="Calibri"/>
          <w:b w:val="0"/>
          <w:color w:val="3A4A28"/>
          <w:sz w:val="17"/>
        </w:rPr>
        <w:t>Bluerock Capital Markets Glassdoor Reviews and Leadership — Glassdoor, The Org, LinkedIn, accessed September 2026</w:t>
      </w:r>
    </w:p>
    <w:p>
      <w:pPr>
        <w:spacing w:before="20" w:after="20"/>
        <w:ind w:left="170"/>
      </w:pPr>
      <w:r>
        <w:rPr>
          <w:rFonts w:ascii="Calibri" w:hAnsi="Calibri"/>
          <w:b/>
          <w:color w:val="4A6B25"/>
          <w:sz w:val="15"/>
        </w:rPr>
        <w:t xml:space="preserve">4. </w:t>
      </w:r>
      <w:r>
        <w:rPr>
          <w:rFonts w:ascii="Calibri" w:hAnsi="Calibri"/>
          <w:b w:val="0"/>
          <w:color w:val="3A4A28"/>
          <w:sz w:val="17"/>
        </w:rPr>
        <w:t>Yahoo Finance — BPRE Key Statistics and Financial Data, accessed September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