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BRBR</w:t>
      </w:r>
      <w:r>
        <w:rPr>
          <w:rFonts w:ascii="Calibri" w:hAnsi="Calibri"/>
          <w:b/>
          <w:color w:val="1A2010"/>
          <w:sz w:val="40"/>
        </w:rPr>
        <w:t xml:space="preserve">  BellRing Brands, Inc.</w:t>
      </w:r>
    </w:p>
    <w:p>
      <w:pPr>
        <w:spacing w:after="120"/>
      </w:pPr>
      <w:r>
        <w:rPr>
          <w:rFonts w:ascii="Calibri" w:hAnsi="Calibri"/>
          <w:b/>
          <w:color w:val="6E8450"/>
          <w:sz w:val="18"/>
        </w:rPr>
        <w:t>GROWTH SLEEVE · 2026-08-30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NYSE · United States</w:t>
      </w:r>
    </w:p>
    <w:p>
      <w:pPr>
        <w:spacing w:after="80"/>
      </w:pPr>
      <w:r>
        <w:rPr>
          <w:rFonts w:ascii="Calibri" w:hAnsi="Calibri"/>
          <w:b w:val="0"/>
          <w:color w:val="3A4A28"/>
          <w:sz w:val="20"/>
        </w:rPr>
        <w:t>BellRing Brands provides convenient nutrition products including ready-to-drink protein shakes, protein powders, and nutrition bars under the Premier Protein, Dymatize, and PowerBar brands. Spun off from Post Holdings in 2019, the company grew from $140M to over $2.3B in sales. New CEO Michael Axelrod (formerly of Snak King) succeeded founding CEO Darcy Davenport in July 2026. Q3 FY2026 revenue of $570.4M beat estimates but EPS of $0.30 missed the $0.38 consensus, and FY2026 EBITDA outlook was cut to $275-295M. Headquartered in St. Louis, Missouri.</w:t>
      </w:r>
    </w:p>
    <w:p>
      <w:r>
        <w:rPr>
          <w:rFonts w:ascii="Calibri" w:hAnsi="Calibri"/>
          <w:b/>
          <w:color w:val="6E8450"/>
          <w:sz w:val="18"/>
        </w:rPr>
        <w:t>530 Employees · https://bellring.com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BellRing grew from $140M to $2.3B in sales under CEO Davenport through expanding household penetration, distribution gains in club/FDM/convenience channels, and brand building for Premier Protein [1]. This is impressive organic scaling but represents execution on existing products rather than transformative launches or pivots. AI Deployment (1/2): BellRing deploys AI for consumer intelligence, supply chain optimization, digital campaign targeting, and retail merchandising analytics — operational tools that improve efficiency but are not customer-facing AI products [5]. Market Share (2/2): Premier Protein is the category leader in US RTD protein shakes with continued household penetration gains and distribution expansion across 90+ countries [1]. Dymatize maintains a strong position in sports nutrition powder. Pipeline (1/2): Management referenced accelerating innovation pipeline and brand investment under new CEO Michael Axelrod, but no specific next-generation products with named launch dates were disclosed; the portfolio remains concentrated on Premier Protein (~76% of revenue) [2][4]. R&amp;D Intensity (0/1): As a CPG company with 530 employees relying on co-manufacturers, R&amp;D spend is below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'Changing Lives with Good Energy' is specific, thoughtful, and clearly connects BellRing's nutrition business to a larger wellness purpose [3]. Founding CEO Davenport described the company as a 'pure-play proactive wellness' brand and created an internal academy to deepen employee understanding of values [5]. The mission differentiates from generic CPG statements. However, it remains to be seen whether new CEO Michael Axelrod (an external hire from Snak King) will sustain this purpose-driven culture [2]. Community Impact (0/2): No evidence of charitable programs, foundation, or community investment with specific dollar amounts. BellRing has sustainability goals (net zero by 2030, 100% renewable electricity) but these are environmental commitments rather than community investment [3]. Employee Retention (1/2): BellRing was recognized as one of 15 companies with best workplace culture in 2025 by CultureCon, and Davenport's creation of a culture academy for 530 employees represents meaningful investment [5]. No specific retention metrics available. Insider Buying (0/2): No evidence of meaningful net insider buying; the CEO transition and securities fraud class action create uncertainty around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Q3 FY2026 revenue of $570.4M beat estimates ($558.7M) but EPS of $0.30 missed the $0.38 consensus, and FY2026 EBITDA outlook was cut again to $275-295M (down from $315-335M at Q2 and $425-440M initially) [1][4]. Negative stockholders' equity driven by leveraged buyout-era debt ($1.17B total debt vs $50.4M cash) scores D/E and ROE at floor [2]. Positive factors: forward P/E of 8.69 is attractive (1.0 score), forward PEG of 0.35 is excellent (1.0 score at 2x weight), 5-year revenue CAGR of ~17% scores at target (1.0 at 2x weight), and TTM profit margin of 7.28% provides partial credit (0.36 score) [2]. Revenue grew just 2% YoY in Q2 (0.73 score), sharply decelerating from FY2025's 16% growth. Infrastructure scores 6/10 mechanically: weighted sum 6.10 / max 10 x 10 = 6. Liquidity floor passes at approximately $64.6M daily ($9.50 x 6.8M shares)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BellRing under Darcy Davenport built a strong culture and grew the business from $140M to $2.3B, which reflects genuine organizational capability. However, the CEO transition to external hire Michael Axelrod from Snak King during a period of decelerating growth and margin compression introduces uncertainty about culture continuity. The securities fraud class action — accusing management of misleading investors about growth drivers — and the company's narrow product focus, young age as an independent entity (7 years), and untested purpose under new leadership limit evidence of infinite game thinking [2][3].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'Changing Lives with Good Energy' is a genuine purpose that connects BellRing's protein nutrition business to a larger wellness mission [3]. Davenport's emphasis on purpose-driven organization and culture-fueled growth suggests the cause influenced strategic decisions. However, the cause hasn't survived a leadership transition — the CEO who articulated it has retired and been replaced by an external hire from Snak King (salty snacks), creating a fundamentally different leadership context. The securities fraud allegations raise questions about whether purpose guided behavior when it conflicted with Wall Street expectations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CultureCon recognized BellRing among the 15 best workplace cultures in 2025, and Davenport created an internal academy for deepening values and culture [5]. With only 530 employees, the company is small enough for culture to be personal and intentional. SVP of People Eric Hunn leads talent and culture functions [2]. However, the CEO transition to an external hire from a different product category (salty snacks) during a challenging period creates organizational uncertainty, and the securities fraud suit suggests possible gaps in internal governance.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BellRing's competitive language focuses on market share gains, distribution wins, and household penetration expansion [1]. No evidence of management acknowledging competitors' strengths — Fairlife (Coca-Cola), OWYN, or Orgain — or using competitive dynamics for self-improvement. The company positions Premier Protein as the category leader without referencing what rivals do better.</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BellRing is a single-category company focused exclusively on convenient nutrition (protein shakes, powders, bars) [1][3]. While the category is growing, there is no evidence of strategic adaptation, business model evolution, or willingness to enter new markets. The company's entire revenue base depends on consumer demand for protein-based nutrition products, and it has not faced the kind of existential test that reveals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BellRing's growth was achieved through conventional CPG execution — expanding distribution, building brand awareness, and scaling production [1]. No examples of leadership sacrificing near-term results for long-term capability or making principled decisions that cost money. The repeated FY2026 guidance cuts (EBITDA from $425-440M to $315-335M to $275-295M) reflect reactive management to cost pressures rather than proactive long-term investment [1][4]. New CEO Axelrod has not yet demonstrated courageous decision-making.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BellRing Brands is the category leader in ready-to-drink protein shakes, with Premier Protein commanding the #1 US position and driving TTM revenue of $2.35B [1][2]. At 8.69x forward P/E and 0.35x PEG ratio, the stock offers compelling value if margin headwinds prove transitory and new CEO Michael Axelrod can stabilize operations. Q3 FY2026 revenue of $570.4M beat estimates despite the challenging environment [4]. Free cash flow of ~$186M supports the leveraged balance sheet despite $1.17B in debt. The proactive wellness megatrend — driven by consumer health consciousness, GLP-1 medication users seeking protein supplementation, and rising household penetration — provides secular tailwinds for the category. The Inspire Impact Score of 36 (ALIGNED) with zero negative attributions makes BRBR attractive for faith-based investors [1].</w:t>
      </w:r>
    </w:p>
    <w:p>
      <w:pPr>
        <w:spacing w:after="120"/>
      </w:pPr>
      <w:r>
        <w:rPr>
          <w:rFonts w:ascii="Calibri" w:hAnsi="Calibri"/>
          <w:b w:val="0"/>
          <w:color w:val="3A4A28"/>
          <w:sz w:val="20"/>
        </w:rPr>
        <w:t>The bear case has intensified since the Q3 FY2026 EPS miss ($0.30 vs $0.38 estimate). FY2026 EBITDA guidance has been slashed three times — from $425-440M initially to $315-335M at Q2 to $275-295M now — reflecting persistent input cost inflation, freight pressure, an $28M inventory-related charge, and promotional intensity [1][4]. Revenue growth decelerated sharply from 16% in FY2025 to just 2% in Q2 FY2026. CEO Darcy Davenport's departure and replacement by external hire Michael Axelrod from Snak King removes the architect of BellRing's growth story during its most challenging period, with no guarantee the culture-first approach survives [2]. The securities fraud class action alleging management misled investors about FY2025 growth drivers remains unresolved. Negative stockholders' equity with $1.17B in debt and only $50.4M cash leaves minimal margin of safety. The stock has fallen approximately 73% from its 52-week high, reflecting deep market skepticism about the earnings trajectory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Michael Axelrod's strategic direction becoming clear — his CPG experience across multiple companies could bring fresh operational discipline and innovation, potentially re-accelerating growth beyond the current 2% YoY pace [2]</w:t>
      </w:r>
    </w:p>
    <w:p>
      <w:pPr>
        <w:spacing w:before="40" w:after="40"/>
        <w:ind w:left="283"/>
      </w:pPr>
      <w:r>
        <w:rPr>
          <w:rFonts w:ascii="Calibri" w:hAnsi="Calibri"/>
          <w:b/>
          <w:color w:val="4A6B25"/>
          <w:sz w:val="20"/>
        </w:rPr>
        <w:t xml:space="preserve">2. </w:t>
      </w:r>
      <w:r>
        <w:rPr>
          <w:rFonts w:ascii="Calibri" w:hAnsi="Calibri"/>
          <w:b w:val="0"/>
          <w:color w:val="3A4A28"/>
          <w:sz w:val="20"/>
        </w:rPr>
        <w:t>GLP-1 medication adoption driving increased protein supplement demand as patients seek high-protein, convenient nutrition — a secular tailwind for Premier Protein's core positioning that could offset near-term margin pressures</w:t>
      </w:r>
    </w:p>
    <w:p>
      <w:pPr>
        <w:spacing w:before="40" w:after="40"/>
        <w:ind w:left="283"/>
      </w:pPr>
      <w:r>
        <w:rPr>
          <w:rFonts w:ascii="Calibri" w:hAnsi="Calibri"/>
          <w:b/>
          <w:color w:val="4A6B25"/>
          <w:sz w:val="20"/>
        </w:rPr>
        <w:t xml:space="preserve">3. </w:t>
      </w:r>
      <w:r>
        <w:rPr>
          <w:rFonts w:ascii="Calibri" w:hAnsi="Calibri"/>
          <w:b w:val="0"/>
          <w:color w:val="3A4A28"/>
          <w:sz w:val="20"/>
        </w:rPr>
        <w:t>Input cost normalization and resolution of inventory-related charges in H2 FY2026 enabling margin recovery toward the $275-295M adjusted EBITDA guidance and restoring investor confidence at the deeply discounted 8.69x forward PE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EBITDA guidance deterioration — three consecutive cuts from $425-440M to $275-295M signal structural margin pressure from input costs, freight, and promotional intensity that may not be transitory [1][4]</w:t>
      </w:r>
    </w:p>
    <w:p>
      <w:pPr>
        <w:spacing w:before="40" w:after="40"/>
        <w:ind w:left="283"/>
      </w:pPr>
      <w:r>
        <w:rPr>
          <w:rFonts w:ascii="Calibri" w:hAnsi="Calibri"/>
          <w:b/>
          <w:color w:val="4A6B25"/>
          <w:sz w:val="20"/>
        </w:rPr>
        <w:t xml:space="preserve">2. </w:t>
      </w:r>
      <w:r>
        <w:rPr>
          <w:rFonts w:ascii="Calibri" w:hAnsi="Calibri"/>
          <w:b w:val="0"/>
          <w:color w:val="3A4A28"/>
          <w:sz w:val="20"/>
        </w:rPr>
        <w:t>CEO transition risk — external hire Michael Axelrod from Snak King (salty snacks) may not sustain BellRing's culture-first approach and wellness mission that drove growth from $140M to $2.3B under Davenport [2]</w:t>
      </w:r>
    </w:p>
    <w:p>
      <w:pPr>
        <w:spacing w:before="40" w:after="40"/>
        <w:ind w:left="283"/>
      </w:pPr>
      <w:r>
        <w:rPr>
          <w:rFonts w:ascii="Calibri" w:hAnsi="Calibri"/>
          <w:b/>
          <w:color w:val="4A6B25"/>
          <w:sz w:val="20"/>
        </w:rPr>
        <w:t xml:space="preserve">3. </w:t>
      </w:r>
      <w:r>
        <w:rPr>
          <w:rFonts w:ascii="Calibri" w:hAnsi="Calibri"/>
          <w:b w:val="0"/>
          <w:color w:val="3A4A28"/>
          <w:sz w:val="20"/>
        </w:rPr>
        <w:t>Securities fraud class action alleging management inflated FY2025 growth through channel practices — adverse litigation outcome could result in material financial penalties and reputational damage, while the leveraged balance sheet ($1.17B debt, negative equity) limits financial flexibility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BellRing's core business — manufacturing and distributing physical nutrition products (protein shakes, powders, bars) — is structurally immune to AI disruption [1]. Consumers must physically consume protein; no AI model can substitute a Premier Protein shake. The brand-driven consumer relationship, club store distribution network, and physical product manufacturing create natural immunity. AI health and fitness applications may even increase demand for protein supplements by raising consumer awareness of protein intake goals and personalizing nutrition recommendations. AI Opportunity (0/1): While BellRing uses AI internally for consumer intelligence, supply chain optimization, and merchandising analytics, it does not generate revenue from AI products or services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BellRing Brands Q2 FY2026 Earnings Release — $598.7M revenue (+2% YoY), FY2026 guidance cut to $2.325-2.365B revenue, $315-335M adj EBITDA, May 5, 2026</w:t>
      </w:r>
    </w:p>
    <w:p>
      <w:pPr>
        <w:spacing w:before="20" w:after="20"/>
        <w:ind w:left="170"/>
      </w:pPr>
      <w:r>
        <w:rPr>
          <w:rFonts w:ascii="Calibri" w:hAnsi="Calibri"/>
          <w:b/>
          <w:color w:val="4A6B25"/>
          <w:sz w:val="15"/>
        </w:rPr>
        <w:t xml:space="preserve">2. </w:t>
      </w:r>
      <w:r>
        <w:rPr>
          <w:rFonts w:ascii="Calibri" w:hAnsi="Calibri"/>
          <w:b w:val="0"/>
          <w:color w:val="3A4A28"/>
          <w:sz w:val="17"/>
        </w:rPr>
        <w:t>StockAnalysis/Yahoo Finance — BRBR Key Statistics, $9.50 price, $1.23B market cap, forward PE 8.69, PEG 0.35, -73.62% 52-week decline,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BellRing Brands Corporate Website — Mission 'Changing Lives with Good Energy', ESG Approach (net zero 2030), Leadership page,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BellRing Brands Q3 FY2026 Results — $570.4M revenue (beat $558.7M est), EPS $0.30 (missed $0.38 est), FY2026 EBITDA cut to $275-295M, GlobeNewsWire, August 4, 2026</w:t>
      </w:r>
    </w:p>
    <w:p>
      <w:pPr>
        <w:spacing w:before="20" w:after="20"/>
        <w:ind w:left="170"/>
      </w:pPr>
      <w:r>
        <w:rPr>
          <w:rFonts w:ascii="Calibri" w:hAnsi="Calibri"/>
          <w:b/>
          <w:color w:val="4A6B25"/>
          <w:sz w:val="15"/>
        </w:rPr>
        <w:t xml:space="preserve">5. </w:t>
      </w:r>
      <w:r>
        <w:rPr>
          <w:rFonts w:ascii="Calibri" w:hAnsi="Calibri"/>
          <w:b w:val="0"/>
          <w:color w:val="3A4A28"/>
          <w:sz w:val="17"/>
        </w:rPr>
        <w:t>Darcy Davenport CEO Interview and Culture Academy — Outliers Substack, CultureCon Best Workplace Culture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