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BRKR</w:t>
      </w:r>
      <w:r>
        <w:rPr>
          <w:rFonts w:ascii="Calibri" w:hAnsi="Calibri"/>
          <w:b/>
          <w:color w:val="1A2010"/>
          <w:sz w:val="40"/>
        </w:rPr>
        <w:t xml:space="preserve">  Bruker Corporation</w:t>
      </w:r>
    </w:p>
    <w:p>
      <w:pPr>
        <w:spacing w:after="120"/>
      </w:pPr>
      <w:r>
        <w:rPr>
          <w:rFonts w:ascii="Calibri" w:hAnsi="Calibri"/>
          <w:b/>
          <w:color w:val="6E8450"/>
          <w:sz w:val="18"/>
        </w:rPr>
        <w:t>GROWTH SLEEVE · 2026-09-07 · Inspire: 52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Instruments &amp; Supplies · NASDAQ · United States</w:t>
      </w:r>
    </w:p>
    <w:p>
      <w:pPr>
        <w:spacing w:after="80"/>
      </w:pPr>
      <w:r>
        <w:rPr>
          <w:rFonts w:ascii="Calibri" w:hAnsi="Calibri"/>
          <w:b w:val="0"/>
          <w:color w:val="3A4A28"/>
          <w:sz w:val="20"/>
        </w:rPr>
        <w:t>Bruker Corporation designs, manufactures, and markets high-performance scientific instruments for molecular and materials research, industrial analysis, and semiconductor metrology. Product lines include NMR spectroscopy, mass spectrometry, X-ray diffraction, atomic force microscopy, infrared spectroscopy, and spatial biology platforms. Led by CEO Frank Laukien for 34+ years with a 26.64% personal ownership stake ($1.38B), Bruker reported Q2 2026 revenue of $838.5M (+5.2% YoY) with BSI segment organic bookings accelerating 10% and book-to-bill above 1.0x [1]. Full-year 2026 guidance of $3.54-$3.57B revenue with non-GAAP EPS of $2.10-$2.15 (+15-17% YoY). Market cap approximately $5.35B.</w:t>
      </w:r>
    </w:p>
    <w:p>
      <w:r>
        <w:rPr>
          <w:rFonts w:ascii="Calibri" w:hAnsi="Calibri"/>
          <w:b/>
          <w:color w:val="6E8450"/>
          <w:sz w:val="18"/>
        </w:rPr>
        <w:t>9,000 Employees · https://www.bruker.com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Bruker has successfully expanded beyond its traditional NMR/spectroscopy core into spatial biology (NanoString acquisition), semiconductor metrology, and advanced microscopy over the past five years, opening multiple new revenue streams in high-growth markets [1]. The semiconductor metrology expansion positions Bruker to serve AI chip manufacturing quality control. These acquisitions represent a meaningful broadening of the platform, though the core business model remains scientific instruments. AI Deployment (0/2): No specific AI-powered products shipping to customers or quantified AI-driven cost savings were identified. Bruker's instruments generate data that AI tools analyze, but the instruments themselves are not AI products. Market Share (2/2): Bruker holds dominant positions in several niche scientific instrument categories — the company is a global leader in NMR spectroscopy, a top player in X-ray diffraction and mass spectrometry, and is building market share in spatial biology and semiconductor metrology [1]. The BSI segment's 10% organic bookings growth demonstrates competitive strength. Product Pipeline (1/2): Specific near-term deliveries are identified — ultra-high-field NMR installations and semiconductor metrology tool deliveries shifting to Q4 2026 provide revenue visibility [1]. However, specific next-generation product launches with named timelines beyond current portfolio extensions were not detailed. R&amp;D Intensity (1/1): Scientific instrument companies require sustained R&amp;D investment, and Bruker's multi-decade commitment to advancing measurement science across NMR, mass spec, and microscopy places it above industry average for R&amp;D intensity relative to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Bruker's purpose — enabling scientists to make breakthrough discoveries and develop new applications that improve the quality of human life — is clear, specific, and differentiates from generic corporate statements [3]. The company states that 'ESG principles have been integral to Bruker's DNA for over 60 years,' connecting purpose to a multi-generational commitment. The mission identifies a specific beneficiary (scientists) and a larger purpose (improving human life through discovery). Community Impact (1/2): Bruker publishes an annual Sustainability Report with commitments to environmental impact reduction, community engagement, and ethical practices, but no specific dollar amounts for charitable programs or distinctive community investment initiatives were identified [3]. Employee Retention (1/2): CEO Frank Laukien's 34-year tenure as CEO is extraordinary and demonstrates deep personal commitment to the enterprise. The Comparably leadership rating of B- (Top 40%) and CEO score of 78/100 from employees suggest adequate organizational satisfaction, though specific retention data or average tenure metrics were not available [2]. Insider Buying (0/2): While CEO Laukien's 26.64% ownership stake ($1.38B) represents massive insider conviction, this reflects founding-family shares rather than recent open-market purchases. No evidence of net insider buying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68.2% is just below the 70% target, reflecting healthy leverage for a capital goods company [4]. Forward P/E of 17.4x is below the 20x target (based on non-GAAP EPS guidance of $2.10-$2.15), providing reasonable valuation for a scientific instruments leader. Forward PEG of approximately 1.2 (2x weight) is modestly above the 1.0 target. Revenue growth YoY of approximately 4% (FY2026 guidance of 3-4% total growth) is below the 10% target, reflecting a mature instruments market with lumpy semiconductor deliveries [1]. Revenue growth 5-year CAGR of approximately 8% (2x weight) is below the 10% target. The two critical drags are GAAP profit margin of -0.12% (scoring 0.0) and GAAP ROE of 0.06% (scoring near 0.0 at 2x weight), both distorted by restructuring charges in 2025-2026 — non-GAAP operating margin was 14.1% in Q2 with 350bps gross margin expansion, and non-GAAP EPS grew 53% [1]. Liquidity floor easily cleared at $168.7M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Bruker demonstrates genuine infinite game qualities through its 60+ year commitment to enabling scientific discovery and CEO Frank Laukien's 34-year leadership tenure — a rare example of multi-generational purpose-driven management in the scientific instruments industry. The company has evolved from a core NMR/spectroscopy maker into spatial biology, semiconductor metrology, and advanced microscopy, showing willingness to adapt in service of its mission to advance measurement science. However, the current restructuring program and short-term focus on margin expansion introduce some finite-game tension, and the company's competitive language does not explicitly reference learning from rivals.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Bruker's purpose — enabling scientists to make breakthrough discoveries that improve human life — is a genuine cause that has been partially validated by decades of execution. CEO Laukien's 34-year tenure and 26.64% ownership stake demonstrate multi-generational commitment that goes beyond financial optimization [2]. The company's statement that ESG principles have been 'integral to Bruker's DNA for over 60 years' suggests institutional continuity of purpose [3]. The cause connects the company's work to something genuinely bigger (scientific advancement and human health). However, this is not yet at the level of Sinek's gold standard — the cause has not been publicly tested through crisis in a way that validates it as the competitive advantage.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Frank Laukien's 34-year tenure as CEO, combined with a Comparably leadership score of 78/100 and an overall culture rating of B, suggests adequate organizational trust [2]. The long CEO tenure provides stability and continuity that typically correlates with higher organizational trust. However, the company has approximately 9,000 employees across global operations, and no specific data on voluntary turnover, average employee tenure, or cultural practices that create psychological safety was identified. The current restructuring program may temporarily affect trust as employees navigate organizational changes.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found of Bruker's leadership explicitly acknowledging competitors' strengths or framing competition as motivation for self-improvement. The competitive landscape includes Thermo Fisher Scientific, Agilent, and Waters Corporation, but management commentary focuses on Bruker's own bookings growth and market position rather than what it can learn from these larger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Bruker has meaningfully evolved its business model over the past decade — expanding from core NMR spectroscopy and X-ray instruments into spatial biology (NanoString acquisition), semiconductor metrology, and advanced microscopy [1]. These are genuine market adjacencies that broaden the company's relevance and addressable market. However, the core business model (designing and selling scientific instruments) remains the same, and the expansions are incremental adjacencies rather than a transformative reinvention of what Bruker is.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acquisition of NanoString for spatial biology and the investment in semiconductor metrology during uncertain market conditions represent meaningful long-term bets on expanding Bruker's platform [1]. The current restructuring program, while creating short-term GAAP earnings pressure, demonstrates willingness to invest in operational efficiency for long-term competitiveness. However, these are incremental strategic decisions within a proven model rather than transformative bets that sacrifice near-term performance for a fundamentally different future.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Bruker at 17.4x forward non-GAAP earnings offers a quality scientific instruments franchise with AI-tailwind positioning and accelerating bookings. The BSI segment's 10% organic bookings growth with book-to-bill above 1.0x signals improving demand, while Q4 2026 semiconductor deliveries and ultra-high-field NMR installations provide near-term revenue visibility [1]. Non-GAAP EPS guidance of $2.10-$2.15 (+15-17% YoY) with 350bps gross margin expansion demonstrates the restructuring program is yielding results. CEO Laukien's 34-year tenure and 26.64% ownership ($1.38B) ensure aligned incentives. AI chip manufacturing demand for semiconductor metrology tools positions Bruker as indirect AI infrastructure, and the spatial biology expansion into a $5B+ addressable market adds a multi-year growth vector. The Inspire Impact Score of 52 (ALIGNED) with 13 positive ESG attributions and zero negatives makes BRKR attractive for faith-based portfolios.</w:t>
      </w:r>
    </w:p>
    <w:p>
      <w:pPr>
        <w:spacing w:after="120"/>
      </w:pPr>
      <w:r>
        <w:rPr>
          <w:rFonts w:ascii="Calibri" w:hAnsi="Calibri"/>
          <w:b w:val="0"/>
          <w:color w:val="3A4A28"/>
          <w:sz w:val="20"/>
        </w:rPr>
        <w:t>The bear case centers on near-term earnings quality and growth deceleration. GAAP profit margin of -0.12% and ROE of 0.06% reflect meaningful restructuring charges that mask underlying profitability — investors relying on GAAP metrics will see a company that appears unprofitable [4]. Revenue growth of only 3-4% for FY2026 is below the market and well below the 10% target, reflecting lumpy instrument demand cycles and a mature scientific instruments market. The 5-year revenue CAGR of approximately 8% is solid but below the 10% growth target. The NanoString acquisition for spatial biology increases execution risk as integration continues. D/E of 68% is manageable but leaves less financial flexibility for further acquisitions. Q3 2026 guidance of roughly flat to slightly up organic revenue suggests near-term growth remains sluggish before the expected Q4 acceleration [1]. Bruker competes against much larger players (Thermo Fisher $40B+ market cap, Agilent $30B+) with greater scale advantages in sales, service, and R&amp;D spending.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BSI segment organic bookings acceleration of 10% with book-to-bill above 1.0x signaling improving demand, with Q4 2026 semiconductor metrology deliveries and ultra-high-field NMR installations providing a meaningful revenue step-up [1]</w:t>
      </w:r>
    </w:p>
    <w:p>
      <w:pPr>
        <w:spacing w:before="40" w:after="40"/>
        <w:ind w:left="283"/>
      </w:pPr>
      <w:r>
        <w:rPr>
          <w:rFonts w:ascii="Calibri" w:hAnsi="Calibri"/>
          <w:b/>
          <w:color w:val="4A6B25"/>
          <w:sz w:val="20"/>
        </w:rPr>
        <w:t xml:space="preserve">2. </w:t>
      </w:r>
      <w:r>
        <w:rPr>
          <w:rFonts w:ascii="Calibri" w:hAnsi="Calibri"/>
          <w:b w:val="0"/>
          <w:color w:val="3A4A28"/>
          <w:sz w:val="20"/>
        </w:rPr>
        <w:t>Restructuring program driving 350bps gross margin expansion and 510bps operating margin improvement in Q2 2026, with non-GAAP EPS growth of 53% demonstrating the path to structurally higher profitability as charges roll off [1]</w:t>
      </w:r>
    </w:p>
    <w:p>
      <w:pPr>
        <w:spacing w:before="40" w:after="40"/>
        <w:ind w:left="283"/>
      </w:pPr>
      <w:r>
        <w:rPr>
          <w:rFonts w:ascii="Calibri" w:hAnsi="Calibri"/>
          <w:b/>
          <w:color w:val="4A6B25"/>
          <w:sz w:val="20"/>
        </w:rPr>
        <w:t xml:space="preserve">3. </w:t>
      </w:r>
      <w:r>
        <w:rPr>
          <w:rFonts w:ascii="Calibri" w:hAnsi="Calibri"/>
          <w:b w:val="0"/>
          <w:color w:val="3A4A28"/>
          <w:sz w:val="20"/>
        </w:rPr>
        <w:t>Semiconductor metrology growth as AI chip manufacturing at TSMC, Samsung, and Intel drives demand for advanced quality control instruments, positioning Bruker as indirect AI infrastructure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to 3-4% FY2026 with Q3 expected flat to slightly up, reflecting lumpy instrument demand cycles and potential customer spending caution in an uncertain macro environment [1]</w:t>
      </w:r>
    </w:p>
    <w:p>
      <w:pPr>
        <w:spacing w:before="40" w:after="40"/>
        <w:ind w:left="283"/>
      </w:pPr>
      <w:r>
        <w:rPr>
          <w:rFonts w:ascii="Calibri" w:hAnsi="Calibri"/>
          <w:b/>
          <w:color w:val="4A6B25"/>
          <w:sz w:val="20"/>
        </w:rPr>
        <w:t xml:space="preserve">2. </w:t>
      </w:r>
      <w:r>
        <w:rPr>
          <w:rFonts w:ascii="Calibri" w:hAnsi="Calibri"/>
          <w:b w:val="0"/>
          <w:color w:val="3A4A28"/>
          <w:sz w:val="20"/>
        </w:rPr>
        <w:t>GAAP earnings distortion from restructuring charges creating a -0.12% profit margin that could deter fundamentals-focused investors and compress the stock's valuation multiple until charges roll off</w:t>
      </w:r>
    </w:p>
    <w:p>
      <w:pPr>
        <w:spacing w:before="40" w:after="40"/>
        <w:ind w:left="283"/>
      </w:pPr>
      <w:r>
        <w:rPr>
          <w:rFonts w:ascii="Calibri" w:hAnsi="Calibri"/>
          <w:b/>
          <w:color w:val="4A6B25"/>
          <w:sz w:val="20"/>
        </w:rPr>
        <w:t xml:space="preserve">3. </w:t>
      </w:r>
      <w:r>
        <w:rPr>
          <w:rFonts w:ascii="Calibri" w:hAnsi="Calibri"/>
          <w:b w:val="0"/>
          <w:color w:val="3A4A28"/>
          <w:sz w:val="20"/>
        </w:rPr>
        <w:t>Competition from Thermo Fisher Scientific and Agilent Technologies, which have 4-6x Bruker's market cap and can outspend on sales coverage, service networks, and R&amp;D in overlapping instrument categories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Bruker's core business — designing and manufacturing high-performance scientific instruments including NMR spectrometers, mass spectrometers, X-ray systems, and atomic force microscopes — is structurally immune to AI disruption. These are precision physical instruments that measure molecular and atomic properties; AI cannot replace the need for physical measurement hardware [1]. Critically, AI actually increases demand for Bruker's products: AI-driven drug discovery accelerates pharmaceutical research requiring more analytical instruments, AI chip manufacturing demands more semiconductor metrology tools (Bruker's growing segment), and AI-enhanced materials science drives need for advanced characterization equipment. Bruker is essential infrastructure for the research that AI itself depends on. Analysts do not flag AI as a risk to scientific instruments earnings. AI Opportunity (1/1): Bruker's semiconductor metrology business directly serves AI chip manufacturers, with Q4 2026 semiconductor deliveries representing meaningful AI-adjacent revenue [1]. The company's instruments are increasingly integrated into AI-driven research workflows, and software/data analysis products built on top of instrument data could incorporate AI capabilities for enhanced scientific analysis.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Bruker Q2 2026 Earnings — Revenue $838.5M (+5.2%), Non-GAAP EPS $0.49 (+53%), Gross Margin 52.1% (+350bps), BSI Bookings +10% Organic, Book-to-Bill &gt;1.0x, FY2026 Guidance $3.54-$3.57B Revenue, EPS $2.10-$2.15, IR Press Release, August 2026</w:t>
      </w:r>
    </w:p>
    <w:p>
      <w:pPr>
        <w:spacing w:before="20" w:after="20"/>
        <w:ind w:left="170"/>
      </w:pPr>
      <w:r>
        <w:rPr>
          <w:rFonts w:ascii="Calibri" w:hAnsi="Calibri"/>
          <w:b/>
          <w:color w:val="4A6B25"/>
          <w:sz w:val="15"/>
        </w:rPr>
        <w:t xml:space="preserve">2. </w:t>
      </w:r>
      <w:r>
        <w:rPr>
          <w:rFonts w:ascii="Calibri" w:hAnsi="Calibri"/>
          <w:b w:val="0"/>
          <w:color w:val="3A4A28"/>
          <w:sz w:val="17"/>
        </w:rPr>
        <w:t>Bruker Corporate Profile — CEO Frank Laukien (34-Year Tenure, 26.64% Ownership), Comparably B- Leadership Rating (Top 40%), Spatial Biology and Semiconductor Metrology Expansion, Company Website and Comparably, 2026</w:t>
      </w:r>
    </w:p>
    <w:p>
      <w:pPr>
        <w:spacing w:before="20" w:after="20"/>
        <w:ind w:left="170"/>
      </w:pPr>
      <w:r>
        <w:rPr>
          <w:rFonts w:ascii="Calibri" w:hAnsi="Calibri"/>
          <w:b/>
          <w:color w:val="4A6B25"/>
          <w:sz w:val="15"/>
        </w:rPr>
        <w:t xml:space="preserve">3. </w:t>
      </w:r>
      <w:r>
        <w:rPr>
          <w:rFonts w:ascii="Calibri" w:hAnsi="Calibri"/>
          <w:b w:val="0"/>
          <w:color w:val="3A4A28"/>
          <w:sz w:val="17"/>
        </w:rPr>
        <w:t>Bruker ESG — 60+ Years of ESG Integration, Sustainability Report, Environmental Impact Reduction, Community Engagement, Governance Committee ESG Oversight, Corporate CSR Page and SEC Filings, 2023-2026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Yahoo Finance — BRKR Key Statistics: Forward P/E 17.37x, D/E 68.24%, ROE 0.06%, Profit Margin -0.12%, Market Cap $5.35B, Avg Volume 4.79M,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