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BRLS</w:t>
      </w:r>
      <w:r>
        <w:rPr>
          <w:rFonts w:ascii="Calibri" w:hAnsi="Calibri"/>
          <w:b/>
          <w:color w:val="1A2010"/>
          <w:sz w:val="40"/>
        </w:rPr>
        <w:t xml:space="preserve">  Borealis Foods Inc.</w:t>
      </w:r>
    </w:p>
    <w:p>
      <w:pPr>
        <w:spacing w:after="120"/>
      </w:pPr>
      <w:r>
        <w:rPr>
          <w:rFonts w:ascii="Calibri" w:hAnsi="Calibri"/>
          <w:b/>
          <w:color w:val="6E8450"/>
          <w:sz w:val="18"/>
        </w:rPr>
        <w:t>GROWTH SLEEVE · 2026-09-18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Staples · Packaged Foods · NASDAQ · Canada</w:t>
      </w:r>
    </w:p>
    <w:p>
      <w:pPr>
        <w:spacing w:after="80"/>
      </w:pPr>
      <w:r>
        <w:rPr>
          <w:rFonts w:ascii="Calibri" w:hAnsi="Calibri"/>
          <w:b w:val="0"/>
          <w:color w:val="3A4A28"/>
          <w:sz w:val="20"/>
        </w:rPr>
        <w:t>Borealis Foods Inc. is a food science company focused on developing and commercializing innovative, nutritious, and affordable high-protein food products. The company's proprietary complete protein dough technology delivers 20 grams of plant-based protein per serving across its Chef Woo, Chef Ramsay, Ramen Express, and Woodles brands, sold through retail and institutional/foodservice channels. The company recently refinanced its primary secured debt, extending maturity from August 2026 to April 2031. K-12 school foodservice revenue grew 110% in H1 2026, reaching 20,000+ schools across 40 states. Still facing Nasdaq compliance challenges and going-concern doubt. Founded in 2020, headquartered in Oakville, Ontario, Canada.</w:t>
      </w:r>
    </w:p>
    <w:p>
      <w:r>
        <w:rPr>
          <w:rFonts w:ascii="Calibri" w:hAnsi="Calibri"/>
          <w:b/>
          <w:color w:val="6E8450"/>
          <w:sz w:val="18"/>
        </w:rPr>
        <w:t>147 Employees · https://www.borealisfoods.com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Borealis developed the first complete protein dough containing all nine essential amino acids and launched multiple branded products (Chef Woo, Chef Ramsay by Gordon Ramsay, Ramen Express, Woodles) into retail and foodservice channels [1][2]. The partnership with Gordon Ramsay brought brand recognition. However, revenue of $7.37M quarterly ($29.5M annualized) after years of operation demonstrates very limited commercial traction. AI Deployment (0/2): No AI deployment in manufacturing, product development, or operations. The company is a small food manufacturer focused on food science innovation, not technology. Product Pipeline (1/2): CEO Soltanzadeh highlighted expanding manufacturing partnerships with two major global food manufacturers as co-packing customers, and new product rollout expanding in US and Canada as of July 2026 [2]. The institutional/foodservice channel provides a second distribution pathway. R&amp;D Intensity (1/1): For a company of this size, R&amp;D in food science is a core competency — the proprietary complete protein dough technology represents genuine innovation in food manufacturing that peers have not replicated [1][2]. Market Share (0/2): Negligible market share in the massive global packaged food and ramen market. Revenue of $29.5M annualized is invisible against industry leaders.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Borealis positions itself around making nutritious, affordable food accessible — connecting protein-rich food to underserved markets including institutional buyers (schools, hospitals, military) [1][2]. This is a clear, specific purpose that connects business activity to a genuine social need (affordable nutrition), though the company is too young and small to validate this purpose through decades of execution. Community Impact (1/2): The institutional/foodservice channel focus, including products targeting schools and hospitals, suggests alignment with food access for underserved populations. The 20g complete plant-based protein per serving addresses a genuine nutrition gap in affordable food. However, no specific charitable programs or community investment dollar amounts were identified [2]. Employee Retention (0/2): No employee retention data available for this small, pre-profit company with approximately 100 employees. Insider Buying (0/2): CEO Reza Soltanzadeh was formally hired in July 2024. No data on insider buying or selling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Liquidity now marginally passes at $1.15M daily dollar volume (828K avg shares x $1.39), though this average is heavily skewed by spike trading days — recent daily volume of 6,220 shares ($8,646) suggests typical-day liquidity remains far below the $1M threshold [4]. CAUTION: Only 2 of 10 possible metric weight units are available, making this score unreliable as an indicator of financial health. Revenue grew 7.6% YoY to $7.37M quarterly in Q1 2026 (scores 0.92), but profit margin of -59.8% scores 0.0 [1]. D/E, ROE, Forward P/E, PEG, and 5yr revenue CAGR are all unavailable. The company refinanced its primary secured debt in Q2 2026, eliminating the August 2026 balloon maturity and extending to April 2031, reducing near-term default risk [2]. However, going-concern doubt persists with negative equity, a working capital deficit of ~$65M, and Nasdaq noncompliance warnings [3]. Q1 2026 showed operational improvement: 29.3% improvement in operating loss, 24% SG&amp;A reduction, and 91% improvement in operating cash burn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Borealis Foods has the germ of an infinite mindset — a genuine purpose around nutritious, affordable food — but the company is too young, too small, and too financially distressed to demonstrate any of the qualities Sinek values: consistency through adversity, trusting teams, existential flexibility, or courageous leadership. The company is in survival mode with $0.48M cash and Nasdaq delisting warnings, which inherently makes every decision finite.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Borealis articulates a purpose around making nutritious, affordable, high-protein food accessible to underserved populations through institutional channels (schools, hospitals) and affordable retail products [2]. This is a genuine cause that connects the company's work to a meaningful social need. However, the purpose has not been tested through adversity or validated by sustained execution — the company is only six years old, pre-profit, and fighting to maintain its Nasdaq listing [3]. Sinek would say the cause is well-articulated but not yet earned.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available to assess organizational trust. The company has approximately 100 employees with high leadership turnover risk given the financial distress. CEO Soltanzadeh was hired only in July 2024, giving limited tenure. The $0.48M cash position and going concern doubt create an environment where employee anxiety about job security likely dominates any trust culture [1][3].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Borealis operates in a massive, fragmented food market but does not reference competitors or competitive learning in its public communications. The company is too small for competitive dynamics to be publicly discussed.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Borealis Foods is too young and small to have faced a test of existential flexibility. The company has operated the same business model since inception — developing and selling protein-enriched food products — without any strategic pivot or business model transformation. The addition of co-packing customers and institutional channels represents incremental expansion, not transformation [2].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CEO Soltanzadeh has continued to invest in R&amp;D, marketing (Gordon Ramsay partnership), and manufacturing partnerships while the company operates with $0.48M cash and going concern doubt [1][2]. This could be interpreted as conviction or as recklessness depending on the outcome. There is no evidence of sacrificing short-term results for long-term capability in any meaningful sense — the company has no short-term results to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Borealis Foods has a genuinely innovative product — the first complete protein dough with all nine essential amino acids, delivering 20g plant-based protein per serving — and is showing accelerating institutional traction with K-12 school foodservice revenue surging 110% YoY in H1 2026, now reaching 20,000+ schools through 106 distributors across 40 states [1][2]. Q1 2026 showed operational improvement: 29.3% improvement in operating loss, 24% SG&amp;A reduction, and 91% improvement in operating cash burn. The debt refinancing extending maturity to April 2031 removes the near-term default risk, and manufacturing partnerships with major global food companies provide a scalable production pathway [2]. If the foodservice channel continues scaling and the company reaches cash flow breakeven, the $30M market cap prices in virtually none of the upside.</w:t>
      </w:r>
    </w:p>
    <w:p>
      <w:pPr>
        <w:spacing w:after="120"/>
      </w:pPr>
      <w:r>
        <w:rPr>
          <w:rFonts w:ascii="Calibri" w:hAnsi="Calibri"/>
          <w:b w:val="0"/>
          <w:color w:val="3A4A28"/>
          <w:sz w:val="20"/>
        </w:rPr>
        <w:t>The company remains in severe financial distress: profit margin of -59.8% is worse than the prior quarter, going-concern doubt persists in financial filings, and Nasdaq noncompliance warnings create delisting risk by December 2026 [1][3]. Despite the debt refinancing, the $65M working capital deficit and negative equity position require additional capital raises that will be heavily dilutive to existing shareholders. Revenue of $7.37M quarterly ($29.5M annualized) is microscopic for a public company, and the stock is essentially untradeable on typical days — recent volume of 6,220 shares ($8,646) versus the average of 828K suggests the yfinance average is inflated by a handful of spike days [4]. The stock trades at $1.39 on a $30M market cap, firmly in penny-stock territory with all the associated risks of manipulation, illiquidity, and delisting. This is a venture-stage company trading on a public exchange, not a conventional equity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Co-packing partnerships with two major global food manufacturers scaling production could drive step-function revenue growth beyond the current $29.5M annualized run-rate</w:t>
      </w:r>
    </w:p>
    <w:p>
      <w:pPr>
        <w:spacing w:before="40" w:after="40"/>
        <w:ind w:left="283"/>
      </w:pPr>
      <w:r>
        <w:rPr>
          <w:rFonts w:ascii="Calibri" w:hAnsi="Calibri"/>
          <w:b/>
          <w:color w:val="4A6B25"/>
          <w:sz w:val="20"/>
        </w:rPr>
        <w:t xml:space="preserve">2. </w:t>
      </w:r>
      <w:r>
        <w:rPr>
          <w:rFonts w:ascii="Calibri" w:hAnsi="Calibri"/>
          <w:b w:val="0"/>
          <w:color w:val="3A4A28"/>
          <w:sz w:val="20"/>
        </w:rPr>
        <w:t>Institutional/foodservice channel wins in schools, hospitals, or military procurement could provide large, recurring purchase orders for high-protein products</w:t>
      </w:r>
    </w:p>
    <w:p>
      <w:pPr>
        <w:spacing w:before="40" w:after="40"/>
        <w:ind w:left="283"/>
      </w:pPr>
      <w:r>
        <w:rPr>
          <w:rFonts w:ascii="Calibri" w:hAnsi="Calibri"/>
          <w:b/>
          <w:color w:val="4A6B25"/>
          <w:sz w:val="20"/>
        </w:rPr>
        <w:t xml:space="preserve">3. </w:t>
      </w:r>
      <w:r>
        <w:rPr>
          <w:rFonts w:ascii="Calibri" w:hAnsi="Calibri"/>
          <w:b w:val="0"/>
          <w:color w:val="3A4A28"/>
          <w:sz w:val="20"/>
        </w:rPr>
        <w:t>Successful recapitalization or strategic partnership that addresses the $65M working capital deficit and Nasdaq compliance issues before the December 2026 deadline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liquidity risk: $0.48M cash with $3.5M quarterly cash burn rate means the company may not survive to Q4 2026 without immediate capital raising at likely severely dilutive terms</w:t>
      </w:r>
    </w:p>
    <w:p>
      <w:pPr>
        <w:spacing w:before="40" w:after="40"/>
        <w:ind w:left="283"/>
      </w:pPr>
      <w:r>
        <w:rPr>
          <w:rFonts w:ascii="Calibri" w:hAnsi="Calibri"/>
          <w:b/>
          <w:color w:val="4A6B25"/>
          <w:sz w:val="20"/>
        </w:rPr>
        <w:t xml:space="preserve">2. </w:t>
      </w:r>
      <w:r>
        <w:rPr>
          <w:rFonts w:ascii="Calibri" w:hAnsi="Calibri"/>
          <w:b w:val="0"/>
          <w:color w:val="3A4A28"/>
          <w:sz w:val="20"/>
        </w:rPr>
        <w:t>Nasdaq noncompliance on market value ($35M minimum) and late financial filings creates delisting risk by December 29, 2026, which would destroy remaining equity value and institutional access</w:t>
      </w:r>
    </w:p>
    <w:p>
      <w:pPr>
        <w:spacing w:before="40" w:after="40"/>
        <w:ind w:left="283"/>
      </w:pPr>
      <w:r>
        <w:rPr>
          <w:rFonts w:ascii="Calibri" w:hAnsi="Calibri"/>
          <w:b/>
          <w:color w:val="4A6B25"/>
          <w:sz w:val="20"/>
        </w:rPr>
        <w:t xml:space="preserve">3. </w:t>
      </w:r>
      <w:r>
        <w:rPr>
          <w:rFonts w:ascii="Calibri" w:hAnsi="Calibri"/>
          <w:b w:val="0"/>
          <w:color w:val="3A4A28"/>
          <w:sz w:val="20"/>
        </w:rPr>
        <w:t>Daily dollar trading volume of $398K is below the $1M IOWN liquidity floor, making the stock untradeable for any meaningful portfolio allocation and signaling potential terminal illiquidity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Borealis Foods manufactures physical food products — ramen, ready-to-eat meals, and protein-enriched products — using proprietary food science and physical manufacturing facilities [1][2]. AI cannot substitute for food production: raw materials must be sourced, dough must be mixed, products must be cooked, packaged, and shipped to retail and foodservice customers. The food manufacturing industry is driven by consumer taste preferences, nutritional science, supply chain logistics, and regulatory compliance (FDA, CFIA), none of which face meaningful AI substitution risk. AI might marginally improve production efficiency or demand forecasting, but it creates zero risk of displacing the core business. AI Opportunity (0/1): No AI revenue, products, or initiatives. Borealis is a food science company with no technology-related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Borealis Foods Q1 2026 10-Q Filing — Revenue $7.37M, Net Loss $3.51M, 29.3% Improvement in Operating Loss, Going Concern — TradingView, StockTitan, May 2026</w:t>
      </w:r>
    </w:p>
    <w:p>
      <w:pPr>
        <w:spacing w:before="20" w:after="20"/>
        <w:ind w:left="170"/>
      </w:pPr>
      <w:r>
        <w:rPr>
          <w:rFonts w:ascii="Calibri" w:hAnsi="Calibri"/>
          <w:b/>
          <w:color w:val="4A6B25"/>
          <w:sz w:val="15"/>
        </w:rPr>
        <w:t xml:space="preserve">2. </w:t>
      </w:r>
      <w:r>
        <w:rPr>
          <w:rFonts w:ascii="Calibri" w:hAnsi="Calibri"/>
          <w:b w:val="0"/>
          <w:color w:val="3A4A28"/>
          <w:sz w:val="17"/>
        </w:rPr>
        <w:t>Borealis Foods CEO Manufacturing Partnerships, K-12 Revenue +110%, Debt Refinancing to April 2031 — GlobeNewsWire, July 2026</w:t>
      </w:r>
    </w:p>
    <w:p>
      <w:pPr>
        <w:spacing w:before="20" w:after="20"/>
        <w:ind w:left="170"/>
      </w:pPr>
      <w:r>
        <w:rPr>
          <w:rFonts w:ascii="Calibri" w:hAnsi="Calibri"/>
          <w:b/>
          <w:color w:val="4A6B25"/>
          <w:sz w:val="15"/>
        </w:rPr>
        <w:t xml:space="preserve">3. </w:t>
      </w:r>
      <w:r>
        <w:rPr>
          <w:rFonts w:ascii="Calibri" w:hAnsi="Calibri"/>
          <w:b w:val="0"/>
          <w:color w:val="3A4A28"/>
          <w:sz w:val="17"/>
        </w:rPr>
        <w:t>Borealis Foods Nasdaq Noncompliance Warnings — Market Value and Filing Compliance, December 2026 Deadline — StockTitan,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BRLS Key Statistics, Trading Data, and Volume,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