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BSBR</w:t>
      </w:r>
      <w:r>
        <w:rPr>
          <w:rFonts w:ascii="Calibri" w:hAnsi="Calibri"/>
          <w:b/>
          <w:color w:val="1A2010"/>
          <w:sz w:val="40"/>
        </w:rPr>
        <w:t xml:space="preserve">  Banco Santander (Brasil) S.A.</w:t>
      </w:r>
    </w:p>
    <w:p>
      <w:pPr>
        <w:spacing w:after="120"/>
      </w:pPr>
      <w:r>
        <w:rPr>
          <w:rFonts w:ascii="Calibri" w:hAnsi="Calibri"/>
          <w:b/>
          <w:color w:val="6E8450"/>
          <w:sz w:val="18"/>
        </w:rPr>
        <w:t>DIVIDEND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Brazil</w:t>
      </w:r>
    </w:p>
    <w:p>
      <w:pPr>
        <w:spacing w:after="80"/>
      </w:pPr>
      <w:r>
        <w:rPr>
          <w:rFonts w:ascii="Calibri" w:hAnsi="Calibri"/>
          <w:b w:val="0"/>
          <w:color w:val="3A4A28"/>
          <w:sz w:val="20"/>
        </w:rPr>
        <w:t>Banco Santander (Brasil) operates as one of Brazil's top-five private banks, providing commercial banking, consumer finance, corporate/investment banking, and insurance services to individuals, SMEs, and corporate clients. The bank serves customers through branches, mini-branches, ATMs, digital platforms, and banking correspondents. H1 2026 total revenues reached R$41.9B with recurring net income of BRL 3B in Q2 2026 and return on equity of 12.5%. The bank is undergoing a CEO transition from Mario Roberto Opice Leão to Gilson Finkelsztain, and is investing heavily in AI-driven digital banking transformation.</w:t>
      </w:r>
    </w:p>
    <w:p>
      <w:r>
        <w:rPr>
          <w:rFonts w:ascii="Calibri" w:hAnsi="Calibri"/>
          <w:b/>
          <w:color w:val="6E8450"/>
          <w:sz w:val="18"/>
        </w:rPr>
        <w:t>47,327 Employees · https://www.santander.com.br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Santander Brasil has pursued incremental digital banking improvements over the past five years — expanding mobile banking, launching PIX integrations, and growing its client base to 76M+ — but has not executed a transformative product launch or business model pivot that redefined the company [1]. AI Deployment (2/2): The bank has achieved measurable AI results: card fraud claim processing is 95% faster with up to 90% automation and sub-1% error rates, AI chatbots handle customer service at scale via Sprinklr partnership, and credit analytics leverage machine learning for underwriting [2]. Santander Group has set a target of generating more than €1B in business value from AI between 2026 and 2028. Market Share (1/2): Santander Brasil is a top-five private bank in the country but trails Itaú Unibanco and Bradesco in total assets and market share, while facing aggressive competition from digital-native Nubank, which has surpassed traditional banks in customer count [1]. Product Pipeline (1/2): The Quantum AI Leap global challenge targets startups in quantum computing and AI, and the new São Paulo campus signals long-term digital infrastructure investment, but specific next-gen banking products with named launch dates and revenue visibility are not publicly disclosed [2]. R&amp;D Intensity (0/1): No evidence of R&amp;D spending above industry average for Brazilian banks; technology investment is meaningful but not differentiated relative to peers like Itaú's technology spend.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Santander's purpose — 'to help people and businesses prosper' — is clear and identifies what the company does and for whom, but is not distinctive among global banks. The statement could belong to any major banking institution and does not articulate a deeper purpose beyond the obvious. Community Impact (2/2): Significant ESG business volume of R$32.3B (a 100%+ YoY increase), the Amazon Plan partnership with other major Brazilian private banks for sustainable development, and a R$5B credit line for water and sanitation investments demonstrate substantial, specific community investment aligned with development goals [3]. Employee Retention (1/2): Glassdoor Brazil ratings of 3.5/5 for culture and values, with 74% of Brazilian employees recommending the company to a friend, suggest adequate but not exceptional retention for the banking industry [2]. No specific tenure or voluntary turnover data available. Insider Buying (0/2): CEO Mario Roberto Opice Leão departed mid-2026, with successor Gilson Finkelsztain pending regulatory approval.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Santander Brasil trades at a deeply discounted Forward P/E of 6.62x, well below the 20x target, reflecting emerging market bank valuation compression typical of Brazilian ADRs [4]. Profit margin of 28.66% exceeds the 20% target, driven by strong net interest margins in Brazil's high-rate environment. Revenue growth YoY of 28.8% (in USD terms) significantly exceeds the 10% target, though local currency revenue growth is more modest at low-single-digits due to BRL/USD translation effects [1]. ROE of 11.15% falls below the 15% target, reflecting the bank's ongoing recovery toward normalized profitability — management targets improvement toward 'reasonable levels' in coming quarters. The payout ratio of 130.67% (reflecting JCP and special distributions common in Brazilian banking) exceeds the 100% floor, scoring zero on that component. D/E is not applicable for banks and is excluded. The stock clears the liquidity floor at ~$20.1M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Santander Brasil operates as a subsidiary of the global Santander Group, which constrains its autonomous strategic identity. The bank's purpose statement is generic and interchangeable with peers, leadership transitions have been frequent (CEO change in 2026), and the competitive posture in Brazil is oriented toward market share defense against fintech disruptors rather than pursuing a transformative cause. The bank has shown some flexibility through digital transformation investments, but these represent industry-standard adaptations rather than bold, cause-driven pivots.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Santander's purpose 'to help people and businesses prosper' exists but is shallow — it is interchangeable with virtually any bank globally and does not articulate a distinctive vision of a future state that inspires sacrifice or long-term commitment [2]. As a subsidiary of Spain's Banco Santander, the Brazil unit's strategic direction is ultimately governed by the parent's priorities, further limiting authentic cause ownership. The Amazon Plan and ESG commitments suggest some intentionality, but these are add-ons rather than core strategic drivers.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Santander Brasil maintains a stable workforce of 47,327 employees with Glassdoor Brazil ratings of 3.5/5 for culture and 74% recommendation rate — adequate for the banking industry [2]. However, the CEO transition introduces organizational uncertainty, and no evidence of exceptional trust, empowerment practices, or cultural programs that create psychological safety was found. The subsidiary structure within the global Santander Group imposes layers of governance that can limit local team autonomy.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Santander Brasil's competitive positioning is framed around defending market share against fintech disruptors like Nubank and maintaining position among the top-five banks. Management discussions emphasize ROE targets and cost of risk metrics rather than learning from rivals' strengths or how competition makes the bank better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Santander Brasil has evolved toward digital banking through incremental investments — new São Paulo campus, AI deployment across fraud detection and credit analytics, digital channel expansion, and PIX integration [2]. These represent industry-standard adaptations rather than transformative pivots. The bank has not fundamentally reinvented its business model; it remains a traditional full-service bank adding digital capabilities.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R$5B credit line for water and sanitation infrastructure and the Amazon Plan partnership demonstrate some willingness to invest in long-term, purpose-driven initiatives beyond pure profit maximization [3]. The new campus investment signals long-term commitment to Brazil's market. However, no examples of leadership sacrificing near-term earnings for transformative long-term capability or taking principled stances at material cost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Banco Santander Brasil at 6.62x forward earnings offers deep value exposure to Brazil's banking sector with a 6.08% dividend yield and recovering profitability trajectory. Q2 2026 recurring net income reached BRL 3B with ROE of 12.5%, while H1 2026 fee income grew 4.1% and client net interest income grew 2.2% in local currency [1]. The bank's AI deployment is generating measurable returns — 90% automation in fraud claims, €1B+ group AI value target — and the deeply discounted valuation relative to global bank peers (Forward P/E 6.62x vs. 10-12x for U.S. banks) provides margin of safety [2]. Earnings growth of 49.8% YoY and profit margin of 28.66% demonstrate improving operational leverage [4].</w:t>
      </w:r>
    </w:p>
    <w:p>
      <w:pPr>
        <w:spacing w:after="120"/>
      </w:pPr>
      <w:r>
        <w:rPr>
          <w:rFonts w:ascii="Calibri" w:hAnsi="Calibri"/>
          <w:b w:val="0"/>
          <w:color w:val="3A4A28"/>
          <w:sz w:val="20"/>
        </w:rPr>
        <w:t>The bear case centers on structural challenges facing Brazilian banking. The payout ratio of 130.67% (including JCP distributions) is unsustainable and suggests distributions are being funded partly from capital rather than recurring earnings, creating dividend cut risk [4]. ROE of 11.15% remains below the 15% cost-of-equity benchmark for emerging market banks, and management's guidance of only 'low-single-digit' local currency revenue growth for 2026 reveals that the strong USD-denominated growth is a currency translation artifact rather than fundamental improvement [1]. Digital competition from Nubank (250M+ LatAm customers) and other fintechs continues to compress retail margins. The CEO transition to Gilson Finkelsztain introduces execution uncertainty. Brazil's macroeconomic volatility — high interest rates, currency risk, and political uncertainty — adds structural risk that the low valuation only partially compensates for. Sustainalytics rates Santander Brasil with a 'Significant controversy level' due to climate target dilution concerns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ROE recovery toward management's target of 'reasonable levels' above the current 12.5%, driven by credit cost normalization and non-credit revenue growth in fee income and treasury operations [1]</w:t>
      </w:r>
    </w:p>
    <w:p>
      <w:pPr>
        <w:spacing w:before="40" w:after="40"/>
        <w:ind w:left="283"/>
      </w:pPr>
      <w:r>
        <w:rPr>
          <w:rFonts w:ascii="Calibri" w:hAnsi="Calibri"/>
          <w:b/>
          <w:color w:val="4A6B25"/>
          <w:sz w:val="20"/>
        </w:rPr>
        <w:t xml:space="preserve">2. </w:t>
      </w:r>
      <w:r>
        <w:rPr>
          <w:rFonts w:ascii="Calibri" w:hAnsi="Calibri"/>
          <w:b w:val="0"/>
          <w:color w:val="3A4A28"/>
          <w:sz w:val="20"/>
        </w:rPr>
        <w:t>AI and digital banking efficiency gains targeting €1B+ in group-wide business value from AI between 2026-2028, with Brazil as a key market for fraud automation, credit analytics, and customer service optimization [2]</w:t>
      </w:r>
    </w:p>
    <w:p>
      <w:pPr>
        <w:spacing w:before="40" w:after="40"/>
        <w:ind w:left="283"/>
      </w:pPr>
      <w:r>
        <w:rPr>
          <w:rFonts w:ascii="Calibri" w:hAnsi="Calibri"/>
          <w:b/>
          <w:color w:val="4A6B25"/>
          <w:sz w:val="20"/>
        </w:rPr>
        <w:t xml:space="preserve">3. </w:t>
      </w:r>
      <w:r>
        <w:rPr>
          <w:rFonts w:ascii="Calibri" w:hAnsi="Calibri"/>
          <w:b w:val="0"/>
          <w:color w:val="3A4A28"/>
          <w:sz w:val="20"/>
        </w:rPr>
        <w:t>New CEO Gilson Finkelsztain (former B3 CEO) brings capital markets expertise that could accelerate non-credit revenue growth and introduce strategic innovation from his exchange management background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Unsustainable payout ratio of 130.67% signals potential dividend cut risk if earnings do not accelerate sufficiently, which would undermine the primary investment case for income-oriented holders [4]</w:t>
      </w:r>
    </w:p>
    <w:p>
      <w:pPr>
        <w:spacing w:before="40" w:after="40"/>
        <w:ind w:left="283"/>
      </w:pPr>
      <w:r>
        <w:rPr>
          <w:rFonts w:ascii="Calibri" w:hAnsi="Calibri"/>
          <w:b/>
          <w:color w:val="4A6B25"/>
          <w:sz w:val="20"/>
        </w:rPr>
        <w:t xml:space="preserve">2. </w:t>
      </w:r>
      <w:r>
        <w:rPr>
          <w:rFonts w:ascii="Calibri" w:hAnsi="Calibri"/>
          <w:b w:val="0"/>
          <w:color w:val="3A4A28"/>
          <w:sz w:val="20"/>
        </w:rPr>
        <w:t>Digital disruption from Nubank and other Brazilian fintechs compressing retail banking margins — Nubank's 250M+ customer base and zero-fee model structurally challenge traditional branch-heavy banks' cost structures [1]</w:t>
      </w:r>
    </w:p>
    <w:p>
      <w:pPr>
        <w:spacing w:before="40" w:after="40"/>
        <w:ind w:left="283"/>
      </w:pPr>
      <w:r>
        <w:rPr>
          <w:rFonts w:ascii="Calibri" w:hAnsi="Calibri"/>
          <w:b/>
          <w:color w:val="4A6B25"/>
          <w:sz w:val="20"/>
        </w:rPr>
        <w:t xml:space="preserve">3. </w:t>
      </w:r>
      <w:r>
        <w:rPr>
          <w:rFonts w:ascii="Calibri" w:hAnsi="Calibri"/>
          <w:b w:val="0"/>
          <w:color w:val="3A4A28"/>
          <w:sz w:val="20"/>
        </w:rPr>
        <w:t>Brazil macro risk including high Selic rate volatility, BRL/USD currency depreciation reducing ADR returns for USD investors, and political uncertainty affecting regulatory and fiscal policy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Banking's core functions — deposit-taking, lending, regulatory compliance, and capital intermediation — are protected by heavy regulation (Central Bank of Brazil oversight, Basel requirements), high switching costs for customer deposits, and trust relationships that AI cannot easily replicate [1]. However, Santander Brasil faces meaningful competitive pressure from digitally-native Nubank (250M+ customers across LatAm) and other fintechs that leverage AI for faster underwriting, lower-cost distribution, and superior customer experience. Brazil's PIX instant payment system has commoditized payments, reducing a traditional bank revenue stream. The core deposit franchise and corporate/investment banking relationships are defensible, but retail banking margins face secular compression from digital competition. AI Opportunity (1/1): Santander is actively generating value from AI deployment — card fraud processing automation (90% automation rate), AI-powered credit analytics, and the group's target of €1B+ in AI-driven business value between 2026-2028 represent quantifiable AI revenue and cost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Santander Brasil Q1/Q2 2026 Earnings — Recurring net income BRL 3B, ROE 12.5%, H1 revenues R$41.9B, client NII +2.2%, fee income +4.1% — Investing.com, Yahoo Finance, TipRanks, July-August 2026</w:t>
      </w:r>
    </w:p>
    <w:p>
      <w:pPr>
        <w:spacing w:before="20" w:after="20"/>
        <w:ind w:left="170"/>
      </w:pPr>
      <w:r>
        <w:rPr>
          <w:rFonts w:ascii="Calibri" w:hAnsi="Calibri"/>
          <w:b/>
          <w:color w:val="4A6B25"/>
          <w:sz w:val="15"/>
        </w:rPr>
        <w:t xml:space="preserve">2. </w:t>
      </w:r>
      <w:r>
        <w:rPr>
          <w:rFonts w:ascii="Calibri" w:hAnsi="Calibri"/>
          <w:b w:val="0"/>
          <w:color w:val="3A4A28"/>
          <w:sz w:val="17"/>
        </w:rPr>
        <w:t>Santander AI and Digital Strategy — AI-first strategy with €1B value target 2026-2028, card fraud 95% faster with 90% automation, Quantum AI Leap challenge, Sprinklr chatbot partnership — Santander.com, InfotechLead, PYMNTS.com, May 2026</w:t>
      </w:r>
    </w:p>
    <w:p>
      <w:pPr>
        <w:spacing w:before="20" w:after="20"/>
        <w:ind w:left="170"/>
      </w:pPr>
      <w:r>
        <w:rPr>
          <w:rFonts w:ascii="Calibri" w:hAnsi="Calibri"/>
          <w:b/>
          <w:color w:val="4A6B25"/>
          <w:sz w:val="15"/>
        </w:rPr>
        <w:t xml:space="preserve">3. </w:t>
      </w:r>
      <w:r>
        <w:rPr>
          <w:rFonts w:ascii="Calibri" w:hAnsi="Calibri"/>
          <w:b w:val="0"/>
          <w:color w:val="3A4A28"/>
          <w:sz w:val="17"/>
        </w:rPr>
        <w:t>Santander Brasil ESG — R$32.3B ESG businesses, Amazon Plan, R$5B water/sanitation credit line, climate target criticism, Sustainalytics 'Significant controversy level' — Yahoo Finance Sustainability, SEC filings,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BSBR Key Statistics: Forward P/E 6.62x, ROE 11.15%, Profit Margin 28.66%, Dividend Yield 6.08%, Payout Ratio 130.67%, PEG 0.42, Stock Price $5.68,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