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BSM</w:t>
      </w:r>
      <w:r>
        <w:rPr>
          <w:rFonts w:ascii="Calibri" w:hAnsi="Calibri"/>
          <w:b/>
          <w:color w:val="1A2010"/>
          <w:sz w:val="40"/>
        </w:rPr>
        <w:t xml:space="preserve">  Black Stone Minerals, L.P.</w:t>
      </w:r>
    </w:p>
    <w:p>
      <w:pPr>
        <w:spacing w:after="120"/>
      </w:pPr>
      <w:r>
        <w:rPr>
          <w:rFonts w:ascii="Calibri" w:hAnsi="Calibri"/>
          <w:b/>
          <w:color w:val="6E8450"/>
          <w:sz w:val="18"/>
        </w:rPr>
        <w:t>DIVIDEND SLEEVE · 2026-10-13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NYQ · United States</w:t>
      </w:r>
    </w:p>
    <w:p>
      <w:pPr>
        <w:spacing w:after="80"/>
      </w:pPr>
      <w:r>
        <w:rPr>
          <w:rFonts w:ascii="Calibri" w:hAnsi="Calibri"/>
          <w:b w:val="0"/>
          <w:color w:val="3A4A28"/>
          <w:sz w:val="20"/>
        </w:rPr>
        <w:t>Black Stone Minerals, L.P. is one of the largest owners of oil and natural gas mineral interests in the United States, with approximately 16.9 million gross acres of mineral interests, 1.8 million gross acres of nonparticipating royalty interests, and 1.6 million gross acres of overriding royalty interests across 41 states [2]. As a pure-play mineral and royalty company founded in 1876, BSM collects royalty income from E&amp;P operators without bearing drilling or operating costs. Q2 2026 oil and gas revenue was $115.4M (+13% YoY), net income surged to $106.4M, Adjusted EBITDA was $91.3M, and the board increased the quarterly distribution 7% to $0.32/unit ($1.28 annualized) [1].</w:t>
      </w:r>
    </w:p>
    <w:p>
      <w:r>
        <w:rPr>
          <w:rFonts w:ascii="Calibri" w:hAnsi="Calibri"/>
          <w:b/>
          <w:color w:val="6E8450"/>
          <w:sz w:val="18"/>
        </w:rPr>
        <w:t>70 Employees · https://www.blackstoneminerals.com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Black Stone Minerals operates a pure-play mineral and royalty ownership model that has remained fundamentally unchanged since its founding in 1876. The company does not drill wells, develop products, or make business model pivots — it passively collects royalties from operators who develop its approximately 16.9 million gross acres [2]. No product launches or market transformations in the last five years. AI Deployment (0/2): No AI-powered products or AI-driven cost savings. Operations consist of land management, lease administration, and royalty collection — activities that have not been augmented with AI tools in any reported fashion. Market Share (2/2): BSM is one of the largest mineral rights owners in the continental United States with approximately 16.9 million gross acres across 41 states, providing dominant scale and diversification in the fragmented mineral rights space [2]. The acreage spans every major U.S. basin, a geographic footprint that smaller mineral owners cannot match. Product Pipeline (0/2): No product pipeline — growth depends on commodity prices and operator activity on its acreage rather than internally developed products or services. R&amp;D Intensity (0/1): Zero R&amp;D spend. The mineral rights model requires no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found on the company's website or public materials. BSM's stated objective is maximizing returns for unitholders through mineral rights ownership [2]. This is a financial objective, not an articulated purpose beyond making money. Community Impact (0/2): No evidence of charitable programs, foundation activity, or community investment. As a ~70-employee partnership focused on mineral rights administration, the company has an ESG Task Force but publishes minimal community engagement beyond landowner royalty payments. Employee Retention (0/2): No publicly available data on employee satisfaction, voluntary turnover, or average tenure. With approximately 70 employees, the company is too small for standardized culture metrics. Insider Buying (2/2): Director D. Mark DeWalch purchased over $1.4M in common units in May 2026, including multiple large transactions [3]. Executive Chairman Tom Carter also purchased units. This represents meaningful net insider buying by multiple insiders with specific dollar amounts, signaling strong conviction in the partnership's value.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BSM's royalty model produces exceptional margins with minimal capital requirements. D/E of 17.6% is pristine (score 1.0), ROE of 25.6% and profit margin of 66.9% both well exceed targets (score 1.0 each), reflecting the asset-light nature of mineral ownership where BSM bears no drilling or operating costs [1][3]. Revenue growth YoY of 13.2% in Q2 2026 exceeds target (score 1.0), and Forward P/E of 13.2 is deeply discounted (score 1.0). The estimated 5yr revenue CAGR of approximately 4% reflects commodity price normalization from the 2022 peak (score 0.6). Consecutive years paid = 11 (score 1.0, 2x weight), and the 5yr distribution growth CAGR of 14.7% reflects recovery from the 2020 COVID cut (score 1.0, 2x weight). Key weaknesses: payout ratio of approximately 85% of distributable cash flow approaches the 100% floor (score 0.25), and consecutive years of growth = 0 since distributions have declined from $1.90 (2023) to $1.35 (2025) (score 0.0). Liquidity: $5.6M daily dollar volume clears the $1M floor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Black Stone Minerals is a family-controlled partnership optimized for income distribution rather than purpose-driven endurance. The Carter family has stewarded the asset base since 1876 — an extraordinary 150-year heritage — with financial discipline and conservative leverage, but the company's explicit purpose is maximizing unitholder returns, a finite objective. The January 2026 co-CEO transition to Fowler Carter and Taylor DeWalch maintains family continuity but does not introduce a broader cause or transformative vision [4].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BSM's stated purpose is maximizing returns for unitholders through mineral rights ownership — a financial objective, not a Just Cause in Sinek's framework [2]. There is no articulated vision of a better future that inspires sacrifice. While the 150-year heritage dating to W.T. Carter &amp; Bro. provides extraordinary historical continuity, the purpose has always been extracting value from natural resources rather than advancing a cause beyond profit.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BSM is a small, family-controlled organization with approximately 70 employees [2]. The leadership team features long-tenured executives — Fowler Carter (16+ years), Taylor DeWalch (11+ years) — suggesting a stable, low-turnover environment. The orderly January 2026 co-CEO transition from Tom Carter to Fowler Carter and Taylor DeWalch was planned rather than crisis-driven [4]. However, family-controlled governance may limit psychological safety for non-family members, and no specific employee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BSM operates alongside Viper Energy (VNOM), Texas Pacific Land (TPL), and Kimbell Royalty Partners (KRP), but management commentary focuses on BSM's acreage scale ('one of the largest') and distribution capacity rather than learning from competitors' strengths [1]. The competitive narrative centers on relative positioning rather than self-improvement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BSM has operated the same mineral rights ownership model since its founding in 1876 with no strategic pivots or business model transformations [2]. The company has grown acreage through acquisitions but has never fundamentally reimagined what it does — it collects royalties from E&amp;P operators. When commodity prices crashed in 2020, BSM cut distributions rather than transforming its business. The model is inherently rigid: mineral rights are a static asset class with no pivot path.</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Carter family maintained financial discipline through multiple commodity cycles over four decades, keeping D/E at 18% when peers leveraged up for acquisitions [3]. The decision to maintain a conservative balance sheet through the 2014-2016 and 2020 commodity downturns protected unitholders from the dilutive equity raises that plagued levered E&amp;P companies. The Q2 2026 distribution increase of 7% to $0.32/unit signals confidence in the recovery [1]. However, distributions were cut from $1.90 (2023) to $1.35 (2025), reflecting reactive commodity-driven adjustments rather than courageous strategic choices.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Black Stone Minerals offers a high-yield (8.22%) income stream from one of the largest mineral rights portfolios in the U.S. — approximately 16.9 million gross acres across 41 states [2]. The royalty model produces 66.9% profit margins with minimal capital requirements and pristine leverage (D/E 17.6%), while Q2 2026 net income surged to $106.4M with Adjusted EBITDA of $91.3M [1][3]. Forward P/E of 13.2 is well below the market average, and the business is structurally immune to AI disruption — mineral rights ownership cannot be replicated or displaced by software. The Q2 2026 distribution increase of 7% to $0.32/unit signals improving fundamentals, and Director DeWalch's $1.4M+ insider purchases demonstrate strong leadership conviction [3]. The Inspire Impact Score of 62 (ALIGNED) with 4 positive attributions and zero negative flags supports faith-based allocation.</w:t>
      </w:r>
    </w:p>
    <w:p>
      <w:pPr>
        <w:spacing w:after="120"/>
      </w:pPr>
      <w:r>
        <w:rPr>
          <w:rFonts w:ascii="Calibri" w:hAnsi="Calibri"/>
          <w:b w:val="0"/>
          <w:color w:val="3A4A28"/>
          <w:sz w:val="20"/>
        </w:rPr>
        <w:t>The bear case centers on commodity price sensitivity, distribution volatility, and limited growth levers. Revenue declined from $784M peak (2022) to $422M (2025) as commodity prices normalized, though Q2 2026 oil and gas revenue grew 13% YoY to $115.4M [1]. Distributions were cut from $1.90/year (2023) to $1.35 (2025), and the payout ratio of approximately 85% provides limited cushion if commodity prices weaken — consecutive years of distribution growth stands at 0 [3]. BSM has no ability to control its revenue trajectory — income depends entirely on commodity prices and third-party operator drilling decisions on its acreage. The partnership structure limits access to capital markets. Mineral/royalty production declined 9% QoQ to 32.5 MBoe/d in Q2 2026, signaling near-term production softness [1]. Innovation and Inspiration each score just 2/10, as the company lacks any strategic optionality, purpose statement, or community engagement beyond collecting royalties — BSM is a pure commodity bet dressed as an income vehicle.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distribution increased 7% to $0.32/unit ($1.28 annualized) with net income of $106.4M and DCF of $80.4M, signaling improving cash flow as commodity prices stabilize and operator activity increases [1]</w:t>
      </w:r>
    </w:p>
    <w:p>
      <w:pPr>
        <w:spacing w:before="40" w:after="40"/>
        <w:ind w:left="283"/>
      </w:pPr>
      <w:r>
        <w:rPr>
          <w:rFonts w:ascii="Calibri" w:hAnsi="Calibri"/>
          <w:b/>
          <w:color w:val="4A6B25"/>
          <w:sz w:val="20"/>
        </w:rPr>
        <w:t xml:space="preserve">2. </w:t>
      </w:r>
      <w:r>
        <w:rPr>
          <w:rFonts w:ascii="Calibri" w:hAnsi="Calibri"/>
          <w:b w:val="0"/>
          <w:color w:val="3A4A28"/>
          <w:sz w:val="20"/>
        </w:rPr>
        <w:t>Rising natural gas demand from AI-driven data center expansion and growing LNG exports could support gas pricing and increase operator drilling activity on BSM's gas-weighted acreage, boosting royalty income without BSM bearing capital costs</w:t>
      </w:r>
    </w:p>
    <w:p>
      <w:pPr>
        <w:spacing w:before="40" w:after="40"/>
        <w:ind w:left="283"/>
      </w:pPr>
      <w:r>
        <w:rPr>
          <w:rFonts w:ascii="Calibri" w:hAnsi="Calibri"/>
          <w:b/>
          <w:color w:val="4A6B25"/>
          <w:sz w:val="20"/>
        </w:rPr>
        <w:t xml:space="preserve">3. </w:t>
      </w:r>
      <w:r>
        <w:rPr>
          <w:rFonts w:ascii="Calibri" w:hAnsi="Calibri"/>
          <w:b w:val="0"/>
          <w:color w:val="3A4A28"/>
          <w:sz w:val="20"/>
        </w:rPr>
        <w:t>Pristine balance sheet (D/E 17.6%) and insider conviction ($1.4M+ Director DeWalch purchases) provide capacity for accretive mineral rights acquisitions or further distribution increases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Distributions declined from $1.90/year (2023) to $1.35 (2025) and the 5yr growth CAGR of 14.7% reflects COVID recovery rather than organic growth — the payout ratio of ~85% provides minimal cushion against further commodity price declines [3]</w:t>
      </w:r>
    </w:p>
    <w:p>
      <w:pPr>
        <w:spacing w:before="40" w:after="40"/>
        <w:ind w:left="283"/>
      </w:pPr>
      <w:r>
        <w:rPr>
          <w:rFonts w:ascii="Calibri" w:hAnsi="Calibri"/>
          <w:b/>
          <w:color w:val="4A6B25"/>
          <w:sz w:val="20"/>
        </w:rPr>
        <w:t xml:space="preserve">2. </w:t>
      </w:r>
      <w:r>
        <w:rPr>
          <w:rFonts w:ascii="Calibri" w:hAnsi="Calibri"/>
          <w:b w:val="0"/>
          <w:color w:val="3A4A28"/>
          <w:sz w:val="20"/>
        </w:rPr>
        <w:t>Zero control over revenue drivers — BSM's income depends entirely on commodity prices and third-party operator drilling decisions on its acreage, with production declining 9% QoQ to 32.5 MBoe/d in Q2 2026 [1][2]</w:t>
      </w:r>
    </w:p>
    <w:p>
      <w:pPr>
        <w:spacing w:before="40" w:after="40"/>
        <w:ind w:left="283"/>
      </w:pPr>
      <w:r>
        <w:rPr>
          <w:rFonts w:ascii="Calibri" w:hAnsi="Calibri"/>
          <w:b/>
          <w:color w:val="4A6B25"/>
          <w:sz w:val="20"/>
        </w:rPr>
        <w:t xml:space="preserve">3. </w:t>
      </w:r>
      <w:r>
        <w:rPr>
          <w:rFonts w:ascii="Calibri" w:hAnsi="Calibri"/>
          <w:b w:val="0"/>
          <w:color w:val="3A4A28"/>
          <w:sz w:val="20"/>
        </w:rPr>
        <w:t>Revenue declined 46% from the 2022 peak ($784M to $422M), and while Q2 2026 shows 13% YoY growth, this reflects cyclical commodity recovery rather than structural growth, creating risk of renewed decline if oil/gas prices weaken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Black Stone Minerals owns physical subsurface mineral rights across approximately 16.9 million gross acres — AI cannot displace, replicate, or substitute ownership of in-ground hydrocarbons [2]. Revenue comes from royalties tied to physical commodity extraction by third-party operators. No AI tool can produce oil or natural gas without drilling wells on BSM's acreage and paying royalties. The business is structurally immune to AI disruption — regulatory and legal frameworks governing mineral rights predate AI by over a century. AI-driven efficiency improvements by E&amp;P operators (better well placement, optimized drilling) could increase production on BSM's acreage, marginally benefiting royalty income. AI data center expansion is driving incremental natural gas demand for power generation. AI Opportunity (0/1): BSM does not generate revenue from AI products or services. The company is a passive royalty collector with approximately 70 employees performing land management and lease administration.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Black Stone Minerals Q2 2026 Earnings Release (SEC 8-K) — Oil and gas revenue $115.4M, net income $106.4M, Adjusted EBITDA $91.3M, DCF $80.4M, distribution increased 7% to $0.32/unit, production 32.5 MBoe/d, August 2026</w:t>
      </w:r>
    </w:p>
    <w:p>
      <w:pPr>
        <w:spacing w:before="20" w:after="20"/>
        <w:ind w:left="170"/>
      </w:pPr>
      <w:r>
        <w:rPr>
          <w:rFonts w:ascii="Calibri" w:hAnsi="Calibri"/>
          <w:b/>
          <w:color w:val="4A6B25"/>
          <w:sz w:val="15"/>
        </w:rPr>
        <w:t xml:space="preserve">2. </w:t>
      </w:r>
      <w:r>
        <w:rPr>
          <w:rFonts w:ascii="Calibri" w:hAnsi="Calibri"/>
          <w:b w:val="0"/>
          <w:color w:val="3A4A28"/>
          <w:sz w:val="17"/>
        </w:rPr>
        <w:t>Black Stone Minerals Company Profile — ~16.9M gross mineral acres across 41 states, ~70 employees, founded 1876, royalty model,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StockAnalysis — BSM Key Statistics: Price $14.88, D/E 17.6%, ROE 25.6%, Profit Margin 66.9%, Forward PE 13.16, Distribution Yield 8.22%, Director DeWalch $1.4M+ insider purchases,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Black Stone Minerals Co-CEO Transition — Tom Carter to Executive Chairman, Fowler Carter and Taylor DeWalch as Co-CEOs effective January 2026, Business Wire November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