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BSX</w:t>
      </w:r>
      <w:r>
        <w:rPr>
          <w:rFonts w:ascii="Calibri" w:hAnsi="Calibri"/>
          <w:b/>
          <w:color w:val="1A2010"/>
          <w:sz w:val="40"/>
        </w:rPr>
        <w:t xml:space="preserve">  Boston Scientific Corporation</w:t>
      </w:r>
    </w:p>
    <w:p>
      <w:pPr>
        <w:spacing w:after="120"/>
      </w:pPr>
      <w:r>
        <w:rPr>
          <w:rFonts w:ascii="Calibri" w:hAnsi="Calibri"/>
          <w:b/>
          <w:color w:val="6E8450"/>
          <w:sz w:val="18"/>
        </w:rPr>
        <w:t>GROWTH SLEEVE · 2026-10-04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NYSE · United States</w:t>
      </w:r>
    </w:p>
    <w:p>
      <w:pPr>
        <w:spacing w:after="80"/>
      </w:pPr>
      <w:r>
        <w:rPr>
          <w:rFonts w:ascii="Calibri" w:hAnsi="Calibri"/>
          <w:b w:val="0"/>
          <w:color w:val="3A4A28"/>
          <w:sz w:val="20"/>
        </w:rPr>
        <w:t>Boston Scientific Corporation develops, manufactures, and markets medical devices used in interventional medical specialties worldwide. The company operates through MedSurg and Cardiovascular segments, offering products for cardiac rhythm management, electrophysiology, interventional cardiology, peripheral interventions, endoscopy, urology, and pelvic health. BSX serves over 37 million patients annually and has invested over $1B through Boston Scientific Ventures in 70+ portfolio companies. The company completed a 2-for-1 stock split in March 2025. CEO Mike Mahoney has led the company since 2012, transforming it into a high-growth med-tech leader. Headquartered in Marlborough, Massachusetts.</w:t>
      </w:r>
    </w:p>
    <w:p>
      <w:r>
        <w:rPr>
          <w:rFonts w:ascii="Calibri" w:hAnsi="Calibri"/>
          <w:b/>
          <w:color w:val="6E8450"/>
          <w:sz w:val="18"/>
        </w:rPr>
        <w:t>47,000 Employees · https://www.bostonscientific.com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BSX has executed multiple transformative acquisitions that redefined the company — Farapulse (pulsed field ablation for cardiac electrophysiology), Axonics ($3.7B, 2024) for pelvic floor health creating an entirely new therapeutic category, and BTG for interventional medicine [1][2]. Revenue grew from approximately $12B in 2022 to $20B+ run-rate in 2026, demonstrating exceptional execution across organic and inorganic growth. AI Deployment (1/2): BSX Ventures has invested over $1B in 70+ portfolio companies since 2012, providing access to digital health and AI-driven diagnostic technologies [3]. The company's imaging-guided therapy tools incorporate AI-enhanced algorithms, though specific standalone AI revenue figures are not disclosed. Market Share (2/2): BSX is a category leader in cardiac rhythm management, electrophysiology (FARAPULSE PFA), and peripheral interventions, with Q1 2026 organic revenue growth of 9.4% significantly outpacing the med-tech sector average [1]. FARAPULSE has captured dominant share in the rapidly growing pulsed field ablation market. Product Pipeline (2/2): Robust next-generation pipeline including FARAPULSE platform extensions, WATCHMAN FLX Pro for stroke prevention, next-gen drug-eluting stents, and continuous pipeline from the $1B+ venture portfolio with specific FDA submission timelines [1][2]. R&amp;D Intensity (0/1): R&amp;D spending of approximately 8% of revenue is competitive but roughly in line with med-tech peers (MDT, SYK, ABT at 6-8%), not top quartile.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Boston Scientific's purpose of 'Advancing Science for Life' is specific, thoughtful, and connects the company's work to improving patient outcomes — it reflects genuine intentionality and has been validated by 14+ years of consistent strategic decisions under Mahoney that align R&amp;D, acquisitions, and operations with patient-centered innovation [3]. The mission differentiates from peers and clearly shapes strategic behavior. Community Impact (1/2): BSX served 37M+ patients in 2023, targets carbon neutrality by 2030 with 82% renewable electricity, and has achieved 100% renewable power in the U.S. and Europe [4]. These are meaningful but standard corporate sustainability programs without distinctive charitable dollar commitments. Employee Retention (2/2): CEO Mahoney's 14+ year tenure since 2012 demonstrates exceptional leadership continuity. He explicitly promotes a culture of trust where employees can 'disagree with leaders in front of others, have debates' and has implemented a human capital scorecard weighted at 15% of total bonus pool funding with goals across engagement, retention, and diversity [3][4]. Insider Buying (0/2):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D/E of 50.2% is well below the 70% target, scoring 1.0 [5]. ROE of 15.3% meets the 15% target, scoring 1.0 at 2x weight. Revenue growth YoY of 7.5% scores 0.92. 5-year revenue CAGR of approximately 11% (from $12B to $20B+ run-rate) exceeds the 10% target, scoring 1.0 at 2x weight [1][2]. Forward P/E of 12.49 is well below the 20 target. Profit margin of 17.5% scores 0.88, approaching the 20% target. Forward PEG of 0.6 is far below the 1.0 target, scoring 1.0 at 2x weight — reflecting strong earnings growth expectations against a reasonable valuation [5]. The only slight weakness is YoY revenue growth deceleration from 11.6% in Q1 to 7.5% in Q2, which prompted a guidance reduction to 5-6% organic growth for FY2026 [1][2]. Liquidity: $840.6M daily dollar volume is exceptional.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Boston Scientific demonstrates strong infinite game characteristics under CEO Mahoney's 14-year leadership — particularly in trust-building and courageous long-term investment. The transformation from a troubled post-Guidant company to a $62B high-growth med-tech leader required pattern courage: sustained R&amp;D investment, bold acquisitions (Axonics $3.7B, Farapulse), and deliberate cultural change. The 'Advancing Science for Life' mission is genuine and shapes strategic decisions. However, Mahoney's explicit competitive language — 'We want to win' — reveals a finite competitive mindset that Sinek would identify as playing to beat competitors rather than to advance a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'Advancing Science for Life' is a genuine cause that connects BSX's work to improving patient outcomes — it goes beyond profit and has been validated by 14+ years of consistent strategic decisions under Mahoney aligned with patient-centered innovation [3]. The acquisition strategy (Farapulse for better EP outcomes, Axonics for underserved pelvic health patients) traces back to this purpose. However, the cause has not been tested through the kind of multi-decade crisis survival that would earn the top score — BSX's transformation occurred during a period of broad med-tech growth.</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CEO Mahoney has deliberately built a high-trust culture where employees can 'disagree with leaders in front of others, have debates, and be active' — explicitly creating Sinek's 'Circle of Safety' [3]. He demands 'leaders, not managers' and has implemented a human capital scorecard weighted at 15% of total bonus pool with specific retention and engagement goals [4]. The 14-year leadership tenure and stated premium on 'appropriate risk-taking' and rooting out bureaucracy create an environment where people are empowered to take risks without fear of punishment.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CEO Mahoney has explicitly stated 'We want to win' — classic finite competitive language that Sinek would flag as playing to beat competitors rather than to advance a cause [3]. BSX's competitive strategy emphasizes gaining share from MDT, ABT, and SYK rather than learning from their strengths. The company's language is about 'winning' market share, not about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BSX has evolved from a coronary stent company into a diversified med-tech platform through acquisitions across cardiac rhythm, electrophysiology (Farapulse), peripheral interventions (BTG), and pelvic health (Axonics $3.7B) [1][2]. This represents meaningful evolution that expanded the company's addressable market several-fold. However, the core medical device business model — design, FDA approval, physician sales, implantation — remains fundamentally the same. The changes were expansionary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Mahoney transformed BSX from a troubled company plagued by post-Guidant acquisition compliance issues and sluggish growth into a $62B high-growth med-tech leader through a pattern of courageous investment [3]. The $3.7B Axonics acquisition was a bold entry into an entirely new therapeutic category. The commitment to Farapulse pulsed field ablation represented a bet on a nascent technology that could cannibalize BSX's own legacy EP business. BSX Ventures has deployed $1B+ into 70+ early-stage companies despite uncertain returns. These decisions consistently prioritized long-term capability over short-term earnings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Boston Scientific is a high-growth med-tech compounder trading at 12.5x forward earnings with a 0.6x PEG ratio, offering an exceptional combination of growth and value among large-cap healthcare names. Q1 2026 delivered $5.2B in net sales (+11.6% reported, +9.4% organic), followed by Q2 at $5.4B (+7.5%), with adjusted EPS guided to $3.28-$3.32 (+7-8% YoY) [1][2]. FARAPULSE pulsed field ablation is capturing dominant share in the rapidly growing cardiac EP market, and the $3.7B Axonics acquisition creates an entirely new pelvic health franchise. BSX's D/E of 50.2% and ROE of 15.3% demonstrate financial health, while the $1B+ venture portfolio provides a continuous pipeline of next-generation technologies. CEO Mahoney's 14-year track record of transforming BSX from a troubled company to a $62B high-growth platform demonstrates exceptional leadership execution [3].</w:t>
      </w:r>
    </w:p>
    <w:p>
      <w:pPr>
        <w:spacing w:after="120"/>
      </w:pPr>
      <w:r>
        <w:rPr>
          <w:rFonts w:ascii="Calibri" w:hAnsi="Calibri"/>
          <w:b w:val="0"/>
          <w:color w:val="3A4A28"/>
          <w:sz w:val="20"/>
        </w:rPr>
        <w:t>The primary risk is revenue growth deceleration — organic growth slowed from 9.4% in Q1 to 7.0% in Q2 2026, prompting management to lower full-year guidance to 5-6% organic growth and $3.28-$3.32 adjusted EPS, citing WATCHMAN and electrophysiology headwinds [1][2]. The stock's decline from $46.88 (50-day SMA) to $42.60 reflects market concern that the high-growth narrative is moderating. BSX pays no dividend, making total return entirely dependent on capital appreciation and continued execution. At 17.3x trailing earnings, a miss on growth expectations could trigger a significant multiple compression. The company's competitive language — 'We want to win' — signals a finite mindset that could lead to overreach through aggressive M&amp;A or market share battles that destroy value. Animal testing involvement flagged by ESG rating agencies may affect certain investor mandates [4]. Integration risk from the $3.7B Axonics acquisition remains as BSX absorbs a large, complex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FARAPULSE pulsed field ablation platform capturing dominant share in the rapidly growing cardiac EP market, with next-generation platform extensions in development that could expand the addressable market significantly [1][2]</w:t>
      </w:r>
    </w:p>
    <w:p>
      <w:pPr>
        <w:spacing w:before="40" w:after="40"/>
        <w:ind w:left="283"/>
      </w:pPr>
      <w:r>
        <w:rPr>
          <w:rFonts w:ascii="Calibri" w:hAnsi="Calibri"/>
          <w:b/>
          <w:color w:val="4A6B25"/>
          <w:sz w:val="20"/>
        </w:rPr>
        <w:t xml:space="preserve">2. </w:t>
      </w:r>
      <w:r>
        <w:rPr>
          <w:rFonts w:ascii="Calibri" w:hAnsi="Calibri"/>
          <w:b w:val="0"/>
          <w:color w:val="3A4A28"/>
          <w:sz w:val="20"/>
        </w:rPr>
        <w:t>5-year revenue CAGR of approximately 11% and forward PEG of 0.6 indicate strong earnings growth potential at a reasonable valuation, with $1B+ venture portfolio providing continuous pipeline of acquisition targets and next-gen technologies [3]</w:t>
      </w:r>
    </w:p>
    <w:p>
      <w:pPr>
        <w:spacing w:before="40" w:after="40"/>
        <w:ind w:left="283"/>
      </w:pPr>
      <w:r>
        <w:rPr>
          <w:rFonts w:ascii="Calibri" w:hAnsi="Calibri"/>
          <w:b/>
          <w:color w:val="4A6B25"/>
          <w:sz w:val="20"/>
        </w:rPr>
        <w:t xml:space="preserve">3. </w:t>
      </w:r>
      <w:r>
        <w:rPr>
          <w:rFonts w:ascii="Calibri" w:hAnsi="Calibri"/>
          <w:b w:val="0"/>
          <w:color w:val="3A4A28"/>
          <w:sz w:val="20"/>
        </w:rPr>
        <w:t>CEO Mahoney's 14-year leadership track record and high-trust culture with 15% bonus pool tied to human capital metrics position BSX to attract and retain top talent in a competitive med-tech market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9.4% organic in Q1 to 7.0% in Q2 2026 with lowered full-year guidance to 5-6%, signaling WATCHMAN and electrophysiology headwinds that may indicate market saturation in key product categories [1][2]</w:t>
      </w:r>
    </w:p>
    <w:p>
      <w:pPr>
        <w:spacing w:before="40" w:after="40"/>
        <w:ind w:left="283"/>
      </w:pPr>
      <w:r>
        <w:rPr>
          <w:rFonts w:ascii="Calibri" w:hAnsi="Calibri"/>
          <w:b/>
          <w:color w:val="4A6B25"/>
          <w:sz w:val="20"/>
        </w:rPr>
        <w:t xml:space="preserve">2. </w:t>
      </w:r>
      <w:r>
        <w:rPr>
          <w:rFonts w:ascii="Calibri" w:hAnsi="Calibri"/>
          <w:b w:val="0"/>
          <w:color w:val="3A4A28"/>
          <w:sz w:val="20"/>
        </w:rPr>
        <w:t>No dividend combined with 17.3x trailing P/E makes total return entirely dependent on sustained high-single-digit revenue growth and earnings expansion — a growth miss could trigger significant multiple compression</w:t>
      </w:r>
    </w:p>
    <w:p>
      <w:pPr>
        <w:spacing w:before="40" w:after="40"/>
        <w:ind w:left="283"/>
      </w:pPr>
      <w:r>
        <w:rPr>
          <w:rFonts w:ascii="Calibri" w:hAnsi="Calibri"/>
          <w:b/>
          <w:color w:val="4A6B25"/>
          <w:sz w:val="20"/>
        </w:rPr>
        <w:t xml:space="preserve">3. </w:t>
      </w:r>
      <w:r>
        <w:rPr>
          <w:rFonts w:ascii="Calibri" w:hAnsi="Calibri"/>
          <w:b w:val="0"/>
          <w:color w:val="3A4A28"/>
          <w:sz w:val="20"/>
        </w:rPr>
        <w:t>Integration risk from $3.7B Axonics acquisition in a new therapeutic category (pelvic health), combined with competitive intensity from MDT, ABT, and SYK across all segments, could pressure margins and market share gains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Boston Scientific's core business of designing, manufacturing, and selling medical devices is deeply protected from AI disruption — pacemakers, stents, catheters, and surgical tools require physical manufacturing, FDA clinical trials, physician training, and in-body implantation that AI structurally cannot replace [1][3]. The medical device industry has among the highest regulatory barriers (FDA 510(k), PMA approvals), longest sales cycles, and deepest physician switching costs of any sector. AI enhances BSX's products (smarter pacemakers, AI-guided imaging, predictive diagnostics) but does not threaten the fundamental device-based business model. The WATCHMAN and FARAPULSE platforms require surgeon expertise for implantation. AI Opportunity (1/1): BSX Ventures has deployed over $1B across 70+ portfolio companies including digital health and AI-driven diagnostics, providing a pipeline of AI-enabled product enhancements [3]. AI-enhanced imaging guidance, data analytics platforms for physicians, and smart device monitoring generate revenue as integrated features of BSX's device ecosystem.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Boston Scientific Q1 2026 Earnings — Net Sales $5.203B (+11.6% Reported, +9.4% Organic) — SEC 8-K, BSX Newsroom, April 2026</w:t>
      </w:r>
    </w:p>
    <w:p>
      <w:pPr>
        <w:spacing w:before="20" w:after="20"/>
        <w:ind w:left="170"/>
      </w:pPr>
      <w:r>
        <w:rPr>
          <w:rFonts w:ascii="Calibri" w:hAnsi="Calibri"/>
          <w:b/>
          <w:color w:val="4A6B25"/>
          <w:sz w:val="15"/>
        </w:rPr>
        <w:t xml:space="preserve">2. </w:t>
      </w:r>
      <w:r>
        <w:rPr>
          <w:rFonts w:ascii="Calibri" w:hAnsi="Calibri"/>
          <w:b w:val="0"/>
          <w:color w:val="3A4A28"/>
          <w:sz w:val="17"/>
        </w:rPr>
        <w:t>Boston Scientific Q2 2026 Earnings — Net Sales $5.442B (+7.5%), Updated FY2026 Guidance: 5-6% Organic Growth, Adjusted EPS $3.28-$3.32 — SEC 8-K, BSX Newsroom, July 2026</w:t>
      </w:r>
    </w:p>
    <w:p>
      <w:pPr>
        <w:spacing w:before="20" w:after="20"/>
        <w:ind w:left="170"/>
      </w:pPr>
      <w:r>
        <w:rPr>
          <w:rFonts w:ascii="Calibri" w:hAnsi="Calibri"/>
          <w:b/>
          <w:color w:val="4A6B25"/>
          <w:sz w:val="15"/>
        </w:rPr>
        <w:t xml:space="preserve">3. </w:t>
      </w:r>
      <w:r>
        <w:rPr>
          <w:rFonts w:ascii="Calibri" w:hAnsi="Calibri"/>
          <w:b w:val="0"/>
          <w:color w:val="3A4A28"/>
          <w:sz w:val="17"/>
        </w:rPr>
        <w:t>Boston Scientific CEO Mike Mahoney — 14-Year Tenure, Cultural Transformation, 'Leaders Not Managers,' $1B+ Venture Portfolio — DeviceTalks, Medical Design &amp; Outsourcing, 2026</w:t>
      </w:r>
    </w:p>
    <w:p>
      <w:pPr>
        <w:spacing w:before="20" w:after="20"/>
        <w:ind w:left="170"/>
      </w:pPr>
      <w:r>
        <w:rPr>
          <w:rFonts w:ascii="Calibri" w:hAnsi="Calibri"/>
          <w:b/>
          <w:color w:val="4A6B25"/>
          <w:sz w:val="15"/>
        </w:rPr>
        <w:t xml:space="preserve">4. </w:t>
      </w:r>
      <w:r>
        <w:rPr>
          <w:rFonts w:ascii="Calibri" w:hAnsi="Calibri"/>
          <w:b w:val="0"/>
          <w:color w:val="3A4A28"/>
          <w:sz w:val="17"/>
        </w:rPr>
        <w:t>Boston Scientific Corporate Responsibility — 37M+ Patients Served, 82% Renewable Electricity, Carbon Neutrality by 2030, Human Capital Scorecard — BSX Corporate, 2023-2026</w:t>
      </w:r>
    </w:p>
    <w:p>
      <w:pPr>
        <w:spacing w:before="20" w:after="20"/>
        <w:ind w:left="170"/>
      </w:pPr>
      <w:r>
        <w:rPr>
          <w:rFonts w:ascii="Calibri" w:hAnsi="Calibri"/>
          <w:b/>
          <w:color w:val="4A6B25"/>
          <w:sz w:val="15"/>
        </w:rPr>
        <w:t xml:space="preserve">5. </w:t>
      </w:r>
      <w:r>
        <w:rPr>
          <w:rFonts w:ascii="Calibri" w:hAnsi="Calibri"/>
          <w:b w:val="0"/>
          <w:color w:val="3A4A28"/>
          <w:sz w:val="17"/>
        </w:rPr>
        <w:t>Boston Scientific Financial Data — Post-Split $42.60, D/E 50.2%, ROE 15.3%, PEG 0.6 —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