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BSY</w:t>
      </w:r>
      <w:r>
        <w:rPr>
          <w:rFonts w:ascii="Calibri" w:hAnsi="Calibri"/>
          <w:b/>
          <w:color w:val="1A2010"/>
          <w:sz w:val="40"/>
        </w:rPr>
        <w:t xml:space="preserve">  Bentley Systems, Incorporated</w:t>
      </w:r>
    </w:p>
    <w:p>
      <w:pPr>
        <w:spacing w:after="120"/>
      </w:pPr>
      <w:r>
        <w:rPr>
          <w:rFonts w:ascii="Calibri" w:hAnsi="Calibri"/>
          <w:b/>
          <w:color w:val="6E8450"/>
          <w:sz w:val="18"/>
        </w:rPr>
        <w:t>GROWTH SLEEVE · 2026-09-03 · Inspire: 69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 · United States</w:t>
      </w:r>
    </w:p>
    <w:p>
      <w:pPr>
        <w:spacing w:after="80"/>
      </w:pPr>
      <w:r>
        <w:rPr>
          <w:rFonts w:ascii="Calibri" w:hAnsi="Calibri"/>
          <w:b w:val="0"/>
          <w:color w:val="3A4A28"/>
          <w:sz w:val="20"/>
        </w:rPr>
        <w:t>Bentley Systems provides infrastructure engineering software solutions worldwide, including MicroStation (design/modeling), OpenRoads (civil), OpenBuildings, STAAD/RAM (structural), OpenPlant, iTwin (digital twins), ProjectWise (project collaboration), and AssetWise (asset lifecycle). The company serves transportation, public works, utilities, industrial, mining, and commercial/residential sectors. Under new CEO Nicholas Cumins (first non-family CEO in 40 years), Bentley is accelerating AI integration with six MCP servers released and AI-driven workflows powering customer applications. Q2 2026 revenue reached $410.7M (+12.8% YoY) with ARR of $1,536M.</w:t>
      </w:r>
    </w:p>
    <w:p>
      <w:r>
        <w:rPr>
          <w:rFonts w:ascii="Calibri" w:hAnsi="Calibri"/>
          <w:b/>
          <w:color w:val="6E8450"/>
          <w:sz w:val="18"/>
        </w:rPr>
        <w:t>5,200 Employees · https://www.bentley.com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Bentley has executed a meaningful platform transformation over the past 5 years — evolving from traditional perpetual-license CAD tools into a subscription-based infrastructure engineering platform anchored by the iTwin digital twin technology [1]. The transition to subscription/SaaS drove ARR from $1,319M (June 2025) to $1,536M (June 2026), a 12% increase. The appointment of Nicholas Cumins as the first non-family CEO in the company's 40-year history represents an organizational pivot toward professional management and AI-first strategy. AI Deployment (1/2): CEO Cumins described Bentley's AI strategy as 'pairing deterministic applications with probabilistic models like Claude, Gemini, or ChatGPT,' with six MCP servers released to date enabling customers to power AI-driven workflows [2]. Strong demand exists for Bentley to instrument applications for AI-powered engineering, representing deployed AI capabilities generating customer value. Market Share (2/2): Bentley is the dominant infrastructure engineering software company globally, with no peer-level competitor in infrastructure digital twins specifically. The 109% last-twelve-month dollar-based net retention rate demonstrates strong market position and customer stickiness, with expansion revenue from existing customers exceeding churn [1]. Product Pipeline (1/2): Continued AI integration across the product suite, expanded MCP server releases, and iTwin platform evolution provide clear direction, though specific next-gen products with named launch dates and quantified revenue visibility were not publicly disclosed beyond the current AI feature rollout [2]. R&amp;D Intensity (1/1): Bentley invests heavily in R&amp;D for infrastructure software development, including the AI technology hub and Copilot development, above industry averages for vertical software companies.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Bentley's purpose — 'advancing infrastructure' — combined with its ES(D)G framework (Empowering Sustainable Development Goals) reflects a specific, thoughtful mission that connects infrastructure engineering software to global sustainability challenges including aging infrastructure, climate resilience, and urbanization [2]. The 40-year consistent focus on infrastructure software validates that the mission shapes strategic decisions. The Year in Infrastructure awards program celebrating global infrastructure innovation demonstrates the mission is lived. This is clearly above generic but falls short of transformative validation through decades of crisis-tested consistency. Community Impact (1/2): Going Digital Awards and Year in Infrastructure programs recognize global infrastructure innovation projects. Bentley has committed to growing and diversifying the pipeline of infrastructure engineers through education, recruitment, and community engagement initiatives, though specific charitable dollar amounts or foundation programs were not quantified [2]. Employee Retention (2/2): Global employee engagement survey achieved 89% participation rate with 86% of respondents indicating they are proud to work at Bentley Systems and an overall engagement score of 82% exceeding the median technology benchmark [2]. This is specific, above-average evidence of a workforce that stays for the mission. Insider Buying (0/2): The Bentley family maintains significant insider ownership through Class B share structure, providing structural alignment. However, no evidence of meaningful net insider buying by executives in the last 12 months was identified. Family ownership is alignment, not buying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passes easily: avg daily volume of ~2.16M shares at $37.43 yields ~$80.8M daily dollar volume [3]. Mechanically scored on Growth sleeve metrics (dividend yield of 0.87% is below the 2% threshold for Dividend sleeve). D/E of 101.26% scores (300-101.26)/(300-70) = 0.864 (1x weight). ROE of 24.53% exceeds the 15% target, scoring 1.0 (2x weight). Revenue growth YoY of ~13% exceeds the 10% target, scoring 1.0 (1x weight) [1]. Revenue growth 5yr CAGR of ~11.7% (2021 $965M to 2025 $1,502M) exceeds the 10% target, scoring 1.0 (2x weight). Forward P/E of 25.91 scores (60-25.91)/(60-20) = 0.852 (1x weight). Profit margin of 18.12% scores (18.12-0)/(20-0) = 0.906 (1x weight). PEG of ~2.0 (Forward P/E 25.91 / ~13% growth) scores (3-2)/(3-1) = 0.5 (2x weight). Weighted sum: 0.864 + 2.0 + 1.0 + 2.0 + 0.852 + 0.906 + 1.0 = 8.622 / 10.0 x 10 = 9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Bentley Systems exhibits strong infinite-game qualities rooted in 40 years of family-controlled governance and a genuine infrastructure mission that connects software development to societal benefit. The ES(D)G framework, 82% employee engagement score exceeding tech benchmarks, and consistent infrastructure focus demonstrate long-term orientation. The first non-family CEO appointment (Nicholas Cumins) represents a mature succession decision that prioritizes capability over dynasty. However, the company has not faced a crisis-tested existential flexibility moment on the scale of Sinek's canonical examples, and the premium valuation creates pressure for quarterly performance that can push toward finite-game thinking.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'Advancing infrastructure' combined with the ES(D)G framework — Empowering Sustainable Development Goals — connects Bentley's software to the societal mission of building better roads, bridges, water systems, and buildings [2]. The 40-year consistent focus on infrastructure software, Year in Infrastructure awards program, and commitment to growing the infrastructure engineer pipeline demonstrate a cause that is genuine and partially lived. Strategic decisions (investing in digital twins, AI for infrastructure, appointing a CEO focused on AI innovation) trace back to this purpose. However, the cause has not been tested through existential crisis, and infrastructure software as a cause does not yet meet the canonical level of a Just Cause that people sacrifice to advance.</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Bentley demonstrates exceptional organizational trust evidenced by specific metrics: 89% global participation rate in employee engagement surveys (indicating employees feel safe providing feedback), 86% of respondents indicating they are proud to work at Bentley Systems, and an overall engagement score of 82% that exceeds the median technology sector benchmark [2]. The company is actively equipping colleagues with skills to leverage emerging technologies including AI, suggesting investment in people rather than replacement anxiety. Family-controlled governance (Bentley brothers maintaining Class B oversight while empowering professional CEO Cumins) provides cultural stability spanning 40 years — a rare level of leadership continuity that builds deep institutional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Bentley consistently positions itself relative to Autodesk by focusing on where its infrastructure specialization creates differentiation rather than trying to compete across Autodesk's entire AEC portfolio [1]. CEO Cumins' AI strategy — releasing MCP servers to enable customer-driven AI workflows rather than dictating a proprietary AI approach — demonstrates humility and learning from the broader AI ecosystem (citing Claude, Gemini, ChatGPT as partners, not threats) [2]. The company frames competition as motivation to deepen infrastructure domain expertise rather than a war to win against Autodesk.</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Bentley has evolved its business model meaningfully over its 40-year history — from perpetual license desktop software to subscription/SaaS, from standalone CAD tools to an integrated infrastructure platform including digital twins (iTwin), and now into AI-powered automated engineering with MCP servers [1][2]. Each evolution was genuine but incremental rather than transformative — Bentley has not abandoned a core business or made a painful bet that redefined the company in the way Sinek's canonical examples (Apple, Fujifilm) did. The infrastructure engineering focus has been consistent throughout.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Bentley's decision to appoint the first non-family CEO in 40 years (Nicholas Cumins) demonstrates organizational maturity and willingness to evolve leadership for the AI era rather than clinging to dynasty [2]. The heavy investment in AI infrastructure — including MCP servers, AI-driven workflows, and engineering AI capabilities — represents a meaningful bet when the monetization timeline is uncertain. The family-controlled structure enables longer investment horizons than typical public companies. However, these decisions are incremental extensions of the existing platform rather than costly sacrifices of near-term profitability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Bentley Systems occupies a defensible niche as the dominant infrastructure engineering software platform, with Q2 2026 revenue of $410.7M (+12.8% YoY), subscription revenue of $378.6M (+13.6%), and ARR reaching $1,536M [1]. ROE of 24.53% reflects efficient capital deployment, the 109% dollar-based net retention rate demonstrates strong customer stickiness, and the 40-year family-controlled governance structure (Bentley brothers maintaining Class B oversight) aligns management with long-term value creation. CEO Cumins' AI strategy — releasing six MCP servers to enable AI-driven infrastructure engineering workflows — positions Bentley at the intersection of the global infrastructure spending cycle and enterprise AI adoption [2]. Revenue grew from $965M (2021) to $1,502M (2025), an 11.7% 5yr CAGR reflecting consistent double-digit growth. The Inspire Impact Score of 69 (ALIGNED) with 19 positive attributions and zero negative attributions makes BSY one of the strongest faith-alignment profiles in the technology sector. Sustainalytics rates Bentley's controversy level as 'None.'</w:t>
      </w:r>
    </w:p>
    <w:p>
      <w:pPr>
        <w:spacing w:after="120"/>
      </w:pPr>
      <w:r>
        <w:rPr>
          <w:rFonts w:ascii="Calibri" w:hAnsi="Calibri"/>
          <w:b w:val="0"/>
          <w:color w:val="3A4A28"/>
          <w:sz w:val="20"/>
        </w:rPr>
        <w:t>The primary concern is valuation — at 25.91x forward earnings and a PEG of ~2.0, Bentley trades at a premium that demands sustained double-digit growth and successful AI monetization [3]. The stock has declined 35% from its 52-week high of $57.25 to $37.43, suggesting the market has already begun adjusting expectations. Profit margin of 18.12% lags best-in-class software peers (Autodesk at ~30%), and the operating margin narrowed to 21.6% in Q2 2026 from 23.2% prior year, indicating AI investment spending is compressing margins before generating returns [1]. D/E of 101.26% with $1.17B in debt against $105M cash creates moderate balance sheet risk if growth decelerates. The dividend yield of 0.87% ($0.28 annual) provides negligible income support. Competitive risk from Autodesk's expanding infrastructure focus and potential AI-native design tools could erode Bentley's niche positioning. Revenue concentration in infrastructure and public works sectors creates sensitivity to government spending cycles, fiscal austerity, and the political durability of infrastructure investment programs.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Infrastructure AI product cycle — six MCP servers released enabling AI-driven engineering workflows, with CEO Cumins citing strong customer demand to instrument applications for AI-powered design that could accelerate seat growth and pricing power [2]</w:t>
      </w:r>
    </w:p>
    <w:p>
      <w:pPr>
        <w:spacing w:before="40" w:after="40"/>
        <w:ind w:left="283"/>
      </w:pPr>
      <w:r>
        <w:rPr>
          <w:rFonts w:ascii="Calibri" w:hAnsi="Calibri"/>
          <w:b/>
          <w:color w:val="4A6B25"/>
          <w:sz w:val="20"/>
        </w:rPr>
        <w:t xml:space="preserve">2. </w:t>
      </w:r>
      <w:r>
        <w:rPr>
          <w:rFonts w:ascii="Calibri" w:hAnsi="Calibri"/>
          <w:b w:val="0"/>
          <w:color w:val="3A4A28"/>
          <w:sz w:val="20"/>
        </w:rPr>
        <w:t>Global infrastructure spending tailwinds — U.S. Infrastructure Investment and Jobs Act, EU infrastructure modernization programs, and emerging market urbanization driving demand for digital engineering tools, supporting sustained double-digit ARR growth [1]</w:t>
      </w:r>
    </w:p>
    <w:p>
      <w:pPr>
        <w:spacing w:before="40" w:after="40"/>
        <w:ind w:left="283"/>
      </w:pPr>
      <w:r>
        <w:rPr>
          <w:rFonts w:ascii="Calibri" w:hAnsi="Calibri"/>
          <w:b/>
          <w:color w:val="4A6B25"/>
          <w:sz w:val="20"/>
        </w:rPr>
        <w:t xml:space="preserve">3. </w:t>
      </w:r>
      <w:r>
        <w:rPr>
          <w:rFonts w:ascii="Calibri" w:hAnsi="Calibri"/>
          <w:b w:val="0"/>
          <w:color w:val="3A4A28"/>
          <w:sz w:val="20"/>
        </w:rPr>
        <w:t>Subscription model compounding — 109% dollar-based net retention rate and 13.6% subscription revenue growth demonstrate customer expansion economics that should drive margin improvement as the subscription base scales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25.91x and PEG of ~2.0 reflect a premium valuation requiring sustained 10%+ revenue growth — any deceleration from the current 12-14% trajectory could trigger significant multiple compression on a stock already down 35% from its 52-week high [3]</w:t>
      </w:r>
    </w:p>
    <w:p>
      <w:pPr>
        <w:spacing w:before="40" w:after="40"/>
        <w:ind w:left="283"/>
      </w:pPr>
      <w:r>
        <w:rPr>
          <w:rFonts w:ascii="Calibri" w:hAnsi="Calibri"/>
          <w:b/>
          <w:color w:val="4A6B25"/>
          <w:sz w:val="20"/>
        </w:rPr>
        <w:t xml:space="preserve">2. </w:t>
      </w:r>
      <w:r>
        <w:rPr>
          <w:rFonts w:ascii="Calibri" w:hAnsi="Calibri"/>
          <w:b w:val="0"/>
          <w:color w:val="3A4A28"/>
          <w:sz w:val="20"/>
        </w:rPr>
        <w:t>Operating margin compression from 23.2% to 21.6% YoY in Q2 2026 as AI investment spending outpaces near-term monetization — the AI product cycle may take multiple quarters to generate returns sufficient to offset development costs [1]</w:t>
      </w:r>
    </w:p>
    <w:p>
      <w:pPr>
        <w:spacing w:before="40" w:after="40"/>
        <w:ind w:left="283"/>
      </w:pPr>
      <w:r>
        <w:rPr>
          <w:rFonts w:ascii="Calibri" w:hAnsi="Calibri"/>
          <w:b/>
          <w:color w:val="4A6B25"/>
          <w:sz w:val="20"/>
        </w:rPr>
        <w:t xml:space="preserve">3. </w:t>
      </w:r>
      <w:r>
        <w:rPr>
          <w:rFonts w:ascii="Calibri" w:hAnsi="Calibri"/>
          <w:b w:val="0"/>
          <w:color w:val="3A4A28"/>
          <w:sz w:val="20"/>
        </w:rPr>
        <w:t>Competitive risk from Autodesk's expanding infrastructure software ambitions and potential AI-native entrants that could bypass traditional engineering software workflows, particularly in less specialized segments of the infrastructure design market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Bentley's infrastructure engineering software is deeply embedded in complex, regulated engineering workflows with high switching costs — transportation agencies, utilities, and engineering firms build decades of project data and institutional knowledge in Bentley platforms [1]. Infrastructure design requires domain-specific expertise, regulatory compliance (building codes, environmental regulations, safety standards), and integration with physical-world constraints that generic AI tools cannot replicate. The 109% net retention rate quantifies these switching costs. However, AI-powered design automation from competitors (Autodesk AI, AI-native entrants) could eventually compress portions of the engineering workflow that Bentley currently monetizes, and some document management and search functions face AI substitution risk. Analysts have tempered growth assumptions given AI disruption uncertainty [2]. AI Opportunity (1/1): Bentley is generating meaningful AI-enabled revenue through its six released MCP servers, AI-driven workflows integrated across the product suite, and the iTwin digital twin platform with AI analytics. CEO Cumins described strong customer demand for AI-instrumented applications, and the company is actively monetizing AI capabilities through its subscription platform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Bentley Systems Q1-Q2 2026 Financial Results — Q1 Revenue $424.2M (+14.5%), Q2 Revenue $410.7M (+12.8%), Subscription Revenue $378.6M (+13.6%), ARR $1,536M, Operating Margin 21.6%, Net Retention 109%; SEC 8-K/10-Q Filings, Bentley Investor Relations, 2026</w:t>
      </w:r>
    </w:p>
    <w:p>
      <w:pPr>
        <w:spacing w:before="20" w:after="20"/>
        <w:ind w:left="170"/>
      </w:pPr>
      <w:r>
        <w:rPr>
          <w:rFonts w:ascii="Calibri" w:hAnsi="Calibri"/>
          <w:b/>
          <w:color w:val="4A6B25"/>
          <w:sz w:val="15"/>
        </w:rPr>
        <w:t xml:space="preserve">2. </w:t>
      </w:r>
      <w:r>
        <w:rPr>
          <w:rFonts w:ascii="Calibri" w:hAnsi="Calibri"/>
          <w:b w:val="0"/>
          <w:color w:val="3A4A28"/>
          <w:sz w:val="17"/>
        </w:rPr>
        <w:t>Bentley Systems AI Strategy and Leadership Transition — CEO Nicholas Cumins (first non-family CEO), Six MCP Servers Released, AI-Driven Workflows, ES(D)G Framework, 89% Employee Survey Participation, 82% Engagement Score; Investing.com, Motley Fool Earnings Call Transcript, StockStory Q1 Deep Dive, 2026</w:t>
      </w:r>
    </w:p>
    <w:p>
      <w:pPr>
        <w:spacing w:before="20" w:after="20"/>
        <w:ind w:left="170"/>
      </w:pPr>
      <w:r>
        <w:rPr>
          <w:rFonts w:ascii="Calibri" w:hAnsi="Calibri"/>
          <w:b/>
          <w:color w:val="4A6B25"/>
          <w:sz w:val="15"/>
        </w:rPr>
        <w:t xml:space="preserve">3. </w:t>
      </w:r>
      <w:r>
        <w:rPr>
          <w:rFonts w:ascii="Calibri" w:hAnsi="Calibri"/>
          <w:b w:val="0"/>
          <w:color w:val="3A4A28"/>
          <w:sz w:val="17"/>
        </w:rPr>
        <w:t>StockAnalysis.com, Yahoo Finance, CNBC, MacroTrends — BSY Key Statistics: Forward P/E 25.91, D/E 101.26%, ROE 24.53%, Profit Margin 18.12%, Stock Price $37.43, P/E (TTM) 40.87, Avg Volume 2.16M, Revenue 5yr CAGR ~11.7%;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