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BTGO</w:t>
      </w:r>
      <w:r>
        <w:rPr>
          <w:rFonts w:ascii="Calibri" w:hAnsi="Calibri"/>
          <w:b/>
          <w:color w:val="1A2010"/>
          <w:sz w:val="40"/>
        </w:rPr>
        <w:t xml:space="preserve">  BitGo Holdings, Inc.</w:t>
      </w:r>
    </w:p>
    <w:p>
      <w:pPr>
        <w:spacing w:after="120"/>
      </w:pPr>
      <w:r>
        <w:rPr>
          <w:rFonts w:ascii="Calibri" w:hAnsi="Calibri"/>
          <w:b/>
          <w:color w:val="6E8450"/>
          <w:sz w:val="18"/>
        </w:rPr>
        <w:t>GROWTH SLEEVE · 2026-09-20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Digital asset infrastructure company providing institutional custody, staking, trading, settlement, and stablecoin-as-a-service solutions. First company to commercialize multi-signature wallets and developer of Threshold Signature Scheme (TSS) technology. Serves 4,900+ institutional clients with $100B+ assets under custody across seven regulated custodians globally. Q2 2026 revenue of $4.33B (+79.6% YoY) driven by digital asset sales and stablecoin platform expansion. Founded 2013 by Mike Belshe, headquartered in Sioux Falls, South Dakota.</w:t>
      </w:r>
    </w:p>
    <w:p>
      <w:r>
        <w:rPr>
          <w:rFonts w:ascii="Calibri" w:hAnsi="Calibri"/>
          <w:b/>
          <w:color w:val="6E8450"/>
          <w:sz w:val="18"/>
        </w:rPr>
        <w:t>603 Employees · https://www.bitgo.com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BitGo pioneered multi-signature wallets (2013) and developed advanced TSS technology, setting the institutional digital asset security standard [1]. Scaled revenue from $3.1B (FY2024) to $16.2B (FY2025), and Q2 2026 revenue reached $4.33B (+79.6% YoY, +14.7% sequentially) with Stablecoin-as-a-Service revenue surging 148% YoY to $38.8M [2]. Successfully expanded from pure custody to a full-stack platform spanning staking, trading, settlement, and stablecoin infrastructure. AI Deployment (0/2): No AI deployment or strategy disclosed in earnings releases or public communications. BitGo's competitive advantage is cryptographic infrastructure and regulatory licensing, not AI [1]. Market Share (2/2): Dominant institutional digital asset custodian with $100B+ assets under custody, $15.6B assets staked, 4,900+ institutional clients, and seven regulated custodians globally [1][2]. Clients on Platform grew 26% YoY, Normalized Assets on Platform grew 31%, and Normalized Assets Staked grew 36% in Q2 2026, demonstrating continued category leadership. Product Pipeline (1/2): Stablecoin-as-a-Service growing rapidly ($38.8M Q2 revenue, +148% YoY) represents an expanding platform capability. Infrastructure-as-a-service offerings continue broadening, but no specific named next-generation products with launch dates have been announced [2]. R&amp;D Intensity (0/1): No specific R&amp;D spending data disclosed publicly.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BitGo was 'founded on the conviction that digital assets would redefine the global financial system,' and CEO Mike Belshe describes the company as 'building the AWS of digital assets' — a clear, distinctive founding vision validated by 13 years of execution from pre-Bitcoin-mainstream through multiple crypto winters [3]. However, this is fundamentally a market thesis about technology adoption rather than a deeply inspiring human purpose. Community Impact (0/2): No evidence of charitable programs, community investment, or philanthropic activity beyond standard corporate operations. BitGo partnered with Sustainable Bitcoin Protocol to launch an ESG-friendly Bitcoin-backed token, but this is a commercial product rather than charitable giving [4]. Employee Retention (0/2): 603 employees with no publicly available retention data, average tenure, or cultural indicators [1]. Insider Buying (0/2): No evidence of meaningful net insider buying by CEO Mike Belshe or other executives. The stock has recovered from its lows but remains well below its IPO price.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Revenue growth of 79.6% YoY in Q2 2026 scores at maximum, demonstrating continued platform scale expansion [2]. D/E of 105.18% scores moderately at 0.85 — elevated leverage reflecting the $445M total debt against $423M equity base, though the business requires balance sheet capacity for digital asset operations. Forward P/E of 29.61 scores 0.76 — the valuation premium reflects growth expectations but exceeds the 20x target significantly. However, ROE of -27.94% and profit margin of -0.53% both score zero, reflecting continued unprofitability despite $20B+ in trailing revenue [5]. The thin economics are structural: digital asset sales (82% of revenue) carry gross margins of approximately 1%, while higher-margin custody and stablecoin revenues remain a small fraction of the total. Q2 2026 showed improvement with net loss narrowing to $19.0M from $60.7M in Q1 2026. 5-year revenue CAGR and Forward PEG excluded as unavailable.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BitGo demonstrates some infinite game qualities through its 13-year commitment to institutional crypto infrastructure through multiple market cycles, but the company's organizational stress — securities fraud class action, significant stock decline from IPO price, and continued unprofitability — suggests finite game pressures are dominating. The founding vision of digital assets redefining finance is more market prediction than just cause, and the Q2 2026 improvement in losses ($19M vs $60.7M in Q1) shows progress but hasn't yet proven sustainable profitability.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BitGo's founding conviction that 'digital assets would redefine the global financial system' is a market prediction about technology adoption, not a Sinek-style vision of a better future worth sacrificing for [3]. CEO Belshe's 'AWS of digital assets' aspiration describes a commercial infrastructure play. The company builds necessary plumbing for crypto markets, but Sinek would distinguish between 'digital assets will be important' (a prediction) and 'making financial infrastructure secure and accessible for all'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securities class action lawsuit creates significant organizational stress and potential erosion of internal trust [1]. The stock's sharp decline from IPO price impacts employee morale and equity compensation value. Management's seasoned executive team across finance, compliance, engineering, and risk management suggests professional capability, but a litigation-heavy environment undermines the psychological safety Sinek requires for trusting teams.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BitGo publicly acknowledging competitors' strengths or using competitive dynamics for self-improvement. The company's communications emphasize its own leadership ($100B+ AUC, seven regulated custodians, 'AWS of digital assets') rather than what it learns from Coinbase Custody, Fireblocks, or Anchorage Digital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BitGo has evolved meaningfully from pure multi-signature custody (2013) to a multi-product platform spanning custody, staking ($15.6B), Stablecoin-as-a-Service ($38.8M quarterly revenue, +148% YoY), and principal trading ($4.2B Q2 revenue) [2]. Each expansion represented strategic addition to the platform. However, these are incremental extensions within the same crypto infrastructure domain rather than transformative pivots to entirely new markets.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Founding BitGo in 2013 when institutional crypto was non-existent, building through the 2018 crypto winter and 2022 FTX collapse, and going public in January 2026 demonstrate long-term commitment through adversity [3]. Mike Belshe's 13-year tenure as CEO through multiple crypto cycles shows persistence and willingness to invest during downturns when the institutional thesis was unproven.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BitGo Holdings is the dominant institutional digital asset infrastructure provider with $100B+ assets under custody, 4,900+ institutional clients, and seven regulated custodians globally [1]. Q2 2026 demonstrated platform resilience with revenue of $4.33B (+79.6% YoY, +14.7% sequentially), Stablecoin-as-a-Service revenue surging 148% YoY to $38.8M, and institutional adoption accelerating with clients +26%, assets +31%, and staked assets +36% YoY [2]. The net loss narrowed dramatically to $19.0M from $60.7M in Q1, suggesting a path toward profitability. At $7.56 per share, the stock has recovered significantly from its lows, and the forward P/E of 29.6x reflects market confidence in the earnings trajectory. The Stablecoin-as-a-Service platform positions BitGo to capture institutional demand for regulated stablecoin infrastructure.</w:t>
      </w:r>
    </w:p>
    <w:p>
      <w:pPr>
        <w:spacing w:after="120"/>
      </w:pPr>
      <w:r>
        <w:rPr>
          <w:rFonts w:ascii="Calibri" w:hAnsi="Calibri"/>
          <w:b w:val="0"/>
          <w:color w:val="3A4A28"/>
          <w:sz w:val="20"/>
        </w:rPr>
        <w:t>The bear case remains material. BitGo is still unprofitable with -0.53% profit margin and -27.94% ROE despite $20B+ in trailing revenue — the structural challenge is that digital asset sales (82% of revenue) carry ~1% gross margins, and the higher-margin custody/stablecoin businesses remain a small fraction of the total [5]. D/E of 105.18% reflects elevated leverage for a financial services company with unproven unit economics. The securities class action lawsuit alleging materially false statements remains active, creating governance risk and potential financial liability. Revenue remains highly correlated to crypto market conditions — Q1 2026 revenue was down 39% sequentially from Q4 2025 when crypto prices softened. The stock trades well below its IPO price, and forward P/E of 29.6x demands sustained growth that is not guaranteed given the company's crypto market sensitivity. The path from $19M quarterly loss to consistent profitability requires a mix shift toward higher-margin services that has been gradual rather than transformative.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mix shift from low-margin digital asset sales toward high-margin Stablecoin-as-a-Service ($38.8M Q2, +148% YoY) and custody fees could transform profitability as these segments scale [2]</w:t>
      </w:r>
    </w:p>
    <w:p>
      <w:pPr>
        <w:spacing w:before="40" w:after="40"/>
        <w:ind w:left="283"/>
      </w:pPr>
      <w:r>
        <w:rPr>
          <w:rFonts w:ascii="Calibri" w:hAnsi="Calibri"/>
          <w:b/>
          <w:color w:val="4A6B25"/>
          <w:sz w:val="20"/>
        </w:rPr>
        <w:t xml:space="preserve">2. </w:t>
      </w:r>
      <w:r>
        <w:rPr>
          <w:rFonts w:ascii="Calibri" w:hAnsi="Calibri"/>
          <w:b w:val="0"/>
          <w:color w:val="3A4A28"/>
          <w:sz w:val="20"/>
        </w:rPr>
        <w:t>Institutional adoption accelerating with clients on platform +26%, assets +31%, and staked assets +36% YoY, suggesting deepening platform engagement beyond transactional trading [2]</w:t>
      </w:r>
    </w:p>
    <w:p>
      <w:pPr>
        <w:spacing w:before="40" w:after="40"/>
        <w:ind w:left="283"/>
      </w:pPr>
      <w:r>
        <w:rPr>
          <w:rFonts w:ascii="Calibri" w:hAnsi="Calibri"/>
          <w:b/>
          <w:color w:val="4A6B25"/>
          <w:sz w:val="20"/>
        </w:rPr>
        <w:t xml:space="preserve">3. </w:t>
      </w:r>
      <w:r>
        <w:rPr>
          <w:rFonts w:ascii="Calibri" w:hAnsi="Calibri"/>
          <w:b w:val="0"/>
          <w:color w:val="3A4A28"/>
          <w:sz w:val="20"/>
        </w:rPr>
        <w:t>Net loss narrowing from $60.7M in Q1 to $19.0M in Q2 2026 demonstrates improving economics — sustained improvement could bring the company to profitability within 2-3 quarters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class action lawsuit alleging materially false statements creates governance risk, potential financial liability, and management distraction from operations — resolution timeline and financial exposure remain uncertain [1]</w:t>
      </w:r>
    </w:p>
    <w:p>
      <w:pPr>
        <w:spacing w:before="40" w:after="40"/>
        <w:ind w:left="283"/>
      </w:pPr>
      <w:r>
        <w:rPr>
          <w:rFonts w:ascii="Calibri" w:hAnsi="Calibri"/>
          <w:b/>
          <w:color w:val="4A6B25"/>
          <w:sz w:val="20"/>
        </w:rPr>
        <w:t xml:space="preserve">2. </w:t>
      </w:r>
      <w:r>
        <w:rPr>
          <w:rFonts w:ascii="Calibri" w:hAnsi="Calibri"/>
          <w:b w:val="0"/>
          <w:color w:val="3A4A28"/>
          <w:sz w:val="20"/>
        </w:rPr>
        <w:t>Revenue correlation to crypto market prices remains high — Q1 2026 revenue declined 39% sequentially due to softer markets, demonstrating that top-line growth is significantly outside management's control [2]</w:t>
      </w:r>
    </w:p>
    <w:p>
      <w:pPr>
        <w:spacing w:before="40" w:after="40"/>
        <w:ind w:left="283"/>
      </w:pPr>
      <w:r>
        <w:rPr>
          <w:rFonts w:ascii="Calibri" w:hAnsi="Calibri"/>
          <w:b/>
          <w:color w:val="4A6B25"/>
          <w:sz w:val="20"/>
        </w:rPr>
        <w:t xml:space="preserve">3. </w:t>
      </w:r>
      <w:r>
        <w:rPr>
          <w:rFonts w:ascii="Calibri" w:hAnsi="Calibri"/>
          <w:b w:val="0"/>
          <w:color w:val="3A4A28"/>
          <w:sz w:val="20"/>
        </w:rPr>
        <w:t>Structural profitability challenge: 1% gross margins on 82% of revenue means BitGo needs transformative mix shift to higher-margin services, and at -27.94% ROE with 105% D/E, the balance sheet provides limited margin for error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BitGo's institutional custody business requires regulatory licenses (state money transmitter, qualified custodian status across seven jurisdictions), multi-signature and TSS cryptographic security infrastructure, cold storage vault operations, and institutional trust built over 13 years — barriers that AI cannot easily replicate [1][3]. The $100B+ AUC reflects sticky institutional relationships with compliance requirements. However, AI-driven competitors could automate aspects of digital asset portfolio management, trading execution, and risk assessment. The thin gross margin (~1%) on trading operations makes this segment particularly vulnerable to AI-driven execution improvements by competitors. Staking optimization through AI represents another competitive threat in that business line. AI Opportunity (0/1): No quantifiable AI-specific revenue. BitGo has not disclosed AI products, AI-driven services, or AI-related efficiency gains. The company's competitive advantage is built on cryptographic security and regulatory infrastructure, not artificial intelligence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BitGo Holdings Company Overview — $100B+ AUC, 4,900+ clients, seven regulated custodians, securities litigation — bitgo.com and SEC filings, 2026</w:t>
      </w:r>
    </w:p>
    <w:p>
      <w:pPr>
        <w:spacing w:before="20" w:after="20"/>
        <w:ind w:left="170"/>
      </w:pPr>
      <w:r>
        <w:rPr>
          <w:rFonts w:ascii="Calibri" w:hAnsi="Calibri"/>
          <w:b/>
          <w:color w:val="4A6B25"/>
          <w:sz w:val="15"/>
        </w:rPr>
        <w:t xml:space="preserve">2. </w:t>
      </w:r>
      <w:r>
        <w:rPr>
          <w:rFonts w:ascii="Calibri" w:hAnsi="Calibri"/>
          <w:b w:val="0"/>
          <w:color w:val="3A4A28"/>
          <w:sz w:val="17"/>
        </w:rPr>
        <w:t>BitGo Q2 2026 Earnings Release — Revenue $4.33B (+79.6% YoY), Stablecoin-as-a-Service $38.8M (+148% YoY), net loss $19.0M — Morningstar/BusinessWire, August 2026</w:t>
      </w:r>
    </w:p>
    <w:p>
      <w:pPr>
        <w:spacing w:before="20" w:after="20"/>
        <w:ind w:left="170"/>
      </w:pPr>
      <w:r>
        <w:rPr>
          <w:rFonts w:ascii="Calibri" w:hAnsi="Calibri"/>
          <w:b/>
          <w:color w:val="4A6B25"/>
          <w:sz w:val="15"/>
        </w:rPr>
        <w:t xml:space="preserve">3. </w:t>
      </w:r>
      <w:r>
        <w:rPr>
          <w:rFonts w:ascii="Calibri" w:hAnsi="Calibri"/>
          <w:b w:val="0"/>
          <w:color w:val="3A4A28"/>
          <w:sz w:val="17"/>
        </w:rPr>
        <w:t>BitGo CEO Mike Belshe — 'AWS of Digital Assets' vision, founding in 2013, 13-year infrastructure-first approach — BitGo blog, LinkedIn, 2026</w:t>
      </w:r>
    </w:p>
    <w:p>
      <w:pPr>
        <w:spacing w:before="20" w:after="20"/>
        <w:ind w:left="170"/>
      </w:pPr>
      <w:r>
        <w:rPr>
          <w:rFonts w:ascii="Calibri" w:hAnsi="Calibri"/>
          <w:b/>
          <w:color w:val="4A6B25"/>
          <w:sz w:val="15"/>
        </w:rPr>
        <w:t xml:space="preserve">4. </w:t>
      </w:r>
      <w:r>
        <w:rPr>
          <w:rFonts w:ascii="Calibri" w:hAnsi="Calibri"/>
          <w:b w:val="0"/>
          <w:color w:val="3A4A28"/>
          <w:sz w:val="17"/>
        </w:rPr>
        <w:t>BitGo ESG Initiative — Sustainable Bitcoin Protocol partnership, ESG-friendly Bitcoin-backed token — Blockworks/CryptoNews,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BTGO Key Statistics: Price $7.56, Forward P/E 29.61x, D/E 105.18%, ROE -27.94%, Avg Volume 1,596,971,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