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BTI</w:t>
      </w:r>
      <w:r>
        <w:rPr>
          <w:rFonts w:ascii="Calibri" w:hAnsi="Calibri"/>
          <w:b/>
          <w:color w:val="1A2010"/>
          <w:sz w:val="40"/>
        </w:rPr>
        <w:t xml:space="preserve">  British American Tobacco p.l.c.</w:t>
      </w:r>
    </w:p>
    <w:p>
      <w:pPr>
        <w:spacing w:after="120"/>
      </w:pPr>
      <w:r>
        <w:rPr>
          <w:rFonts w:ascii="Calibri" w:hAnsi="Calibri"/>
          <w:b/>
          <w:color w:val="6E8450"/>
          <w:sz w:val="18"/>
        </w:rPr>
        <w:t>DIVIDEND SLEEVE · 2026-08-25 · Inspire: -1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Tobacco · NYSE · United Kingdom</w:t>
      </w:r>
    </w:p>
    <w:p>
      <w:pPr>
        <w:spacing w:after="80"/>
      </w:pPr>
      <w:r>
        <w:rPr>
          <w:rFonts w:ascii="Calibri" w:hAnsi="Calibri"/>
          <w:b w:val="0"/>
          <w:color w:val="3A4A28"/>
          <w:sz w:val="20"/>
        </w:rPr>
        <w:t>British American Tobacco provides tobacco and nicotine products globally, offering combustible cigarettes under brands including Lucky Strike, Pall Mall, Dunhill, and Kent, alongside next-generation products including Vuse (vapour), glo (heated tobacco), and Velo (modern oral nicotine). The company is executing a multi-year transformation toward reduced-risk products under its 'A Better Tomorrow' strategy, with New Categories now representing 19.8% of group revenue. BTI reported H1 2026 revenue of $16.22B (+2.9% constant currency) with adjusted EPS of $2.23 (+7.9%), driven by U.S. revenue growth of 8.5% and New Category revenue growth of 18%. Market cap approximately $122B.</w:t>
      </w:r>
    </w:p>
    <w:p>
      <w:r>
        <w:rPr>
          <w:rFonts w:ascii="Calibri" w:hAnsi="Calibri"/>
          <w:b/>
          <w:color w:val="6E8450"/>
          <w:sz w:val="18"/>
        </w:rPr>
        <w:t>47,797 Employees · https://www.bat.com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BTI has executed a meaningful multi-year business model transformation from pure combustible tobacco toward a multi-category nicotine company. New Categories (Vuse, glo, Velo) now represent 19.8% of group revenue — up 160bps YoY — with Modern Oral growing 65.9% and U.S. Vapour returning to double-digit growth in H1 2026 [1]. This represents one significant strategic pivot that has opened substantial new revenue streams, though combustibles still dominate at ~80% of revenue. AI Deployment (1/2): BAT announced a major AI-driven transformation initiative eliminating 9,000 roles (~20% of workforce) and targeting $760M in annual cost savings, with Btomorrow Ventures functioning as a corporate venture arm for sourcing external AI capabilities [3]. Internal AI deployment is actively underway with quantified savings targets, though no customer-facing AI products are shipping. Market Share (1/2): BTI is the world's second-largest international tobacco company by revenue. Vuse holds leading vapour market positions in several geographies, and Velo achieved strong growth in modern oral, but the company faces intense competition from Philip Morris (IQOS in heated tobacco) and Swedish Match/ZYN in the fastest-growing modern oral category [1]. Product Pipeline (1/2): New Categories pipeline includes continued Vuse, glo, and Velo product extensions, with management guiding for 3-5% revenue growth in FY2026 and targeting 50% of revenue from non-combustibles by 2035. However, specific next-generation products with named launch dates and revenue visibility are not publicly disclosed. R&amp;D Intensity (1/1): BTI invests over 300M GBP annually in New Categories R&amp;D, which is above the tobacco industry average and reflects meaningful commitment to reduced-risk product development and regulatory science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BTI's purpose is 'Building A Better Tomorrow' by reducing the health impact of its business through offering adult consumers a greater choice of less risky nicotine products. The mission is clear, identifies what the company does and for whom, and has driven billions in New Category investment. However, with ~80% of revenue still from combustible cigarettes that cause preventable death, the mission reads as strategic repositioning rather than deeply lived transformative purpose [1]. Community Impact (1/2): BAT operates the BAT Foundation and farmer livelihood programs in tobacco-growing regions, with science-based emissions reduction targets and environmental sustainability initiatives. However, evidence of distinctive large-scale charitable investment with specific dollar amounts is limited, and the controversial nature of the core tobacco business constrains the credibility of community engagement [4]. Employee Retention (0/2): BTI eliminated 9,000 positions — nearly 20% of its global workforce — as part of its AI-driven transformation initiative, signaling massive organizational disruption rather than a retention-focused culture [3]. No specific voluntary turnover or average tenure data suggesting employees stay for mission-driven reasons was identified. Insider Buying (0/2): No evidence of meaningful net insider buying by CEO Tadeu Marroco or other executives was identified. The company's 1.3B GBP share buyback program is a corporate capital allocation decision, not personal insider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D/E of 72.15% scores (300-72.15)/(300-70) = 0.99, near the 70% target [2]. ROE of 13.42% scores (13.42-0)/(15-0) = 0.89, slightly below target. Revenue Growth YoY of 2.9% scores (2.9+20)/(10+20) = 0.76, reflecting low but positive constant-currency growth [1]. Revenue Growth 5yr CAGR of ~1% scores (1+5)/(10+5) = 0.40, reflecting essentially flat top-line over five years. Forward P/E of 11.42x scores 1.0 (capped) — deeply attractive valuation [2]. Profit Margin of 24.99% scores 1.0 (capped). Payout Ratio of 67.5% scores (100-67.5)/(100-40) = 0.54 at 1x weight — elevated but manageable. Consecutive Years Paid: 25+ scores 1.0 at 2x weight. Consecutive Years Growth: 3 scores 0.30 at 1x weight. 5yr Dividend Growth CAGR of ~3.0% scores (3/6) = 0.50 at 2x weight. Weighted sum: 0.99+0.89+0.76+0.40+1.0+1.0+0.54+(2x1.0)+0.30+(2x0.50) = 8.88. Max = 12. Infrastructure = round(8.88/12 x 10) = 7. Liquidity: ~6M avg volume x $56.71 = ~$340M daily, well above $1M floor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BTI demonstrates genuine infinite game characteristics through its multi-year transformation from pure combustibles toward a multi-category nicotine business, with billions invested in New Categories and a clear long-term vision targeting 50% smokeless revenue by 2035. However, the 9,000-person workforce reduction (~20% of employees) fundamentally undermines trust-building, and the 'Better Tomorrow' purpose — while backed by real investment — emerged from regulatory and market pressure rather than intrinsic conviction. The company operates with a pragmatic mix of infinite-game transformation strategy and finite-game cost optimization, with combustibles still generating ~80% of revenue.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BTI's purpose of 'Building A Better Tomorrow' by creating a smokeless world is specific, forward-looking, and backed by real strategic action — billions invested in New Categories R&amp;D, 19.8% of revenue now from smokeless products (up from negligible five years ago), and a target of 50% smokeless revenue by 2035 [1]. The cause is genuine and partially lived, with strategic decisions clearly tracing back to it. However, Sinek would note the inherent tension: the company that created the health problem is claiming to solve it. The purpose emerged from regulatory pressure and declining smoking rates rather than intrinsic conviction, has not been validated through decades of consistency, and ~80% of revenue still comes from the products the cause claims to replace.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elimination of 9,000 positions — nearly 20% of BTI's 47,000-person global workforce — as part of the AI transformation initiative creates a fundamentally low-trust organizational environment [3]. Mass layoffs of this magnitude undermine psychological safety regardless of strategic rationale, and remaining employees operate under uncertainty about further cuts. While BAT earned a B+ leadership rating (84/100) from employees on Comparably prior to the restructuring, the scale of workforce reduction signals a finance-first organizational philosophy incompatible with Sinek's Circle of Safety.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BTI explicitly acknowledges Philip Morris International's strengths in heated tobacco (IQOS) and Swedish Match's dominance in modern oral (ZYN), and uses competitive pressure to improve its own product portfolio — investing heavily in Velo to compete with ZYN and launching premium glo variants to compete with IQOS [1]. Management commentary in H1 2026 results focuses on 'category growth,' 'building better products,' and improving consumer switching rather than destroying competitors. The competitive language centers on self-improvement and market development rather than market share warfare.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BTI is executing a significant strategic evolution from combustibles to next-generation nicotine products, with New Categories reaching 19.8% of revenue and growing 18% YoY in H1 2026 [1]. Modern Oral (Velo) up 65.9% and U.S. Vapour returning to double-digit growth demonstrate real category momentum. However, the transformation is incremental rather than transformative — the company continues to operate its combustible business at full scale, targets only 50% smokeless by 2035 (a decade away), and leverages the same distribution and retail infrastructure. This is disciplined adaptation within the nicotine space, not a bold reinvention of the company's identity.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BTI has invested billions in New Categories R&amp;D and accepted near-term revenue pressure as combustible volumes decline, while New Categories remain unprofitable at the group level [1]. The decision to eliminate 9,000 jobs for AI-driven transformation shows willingness to restructure operations, and management guided 3-5% revenue growth with 5-8% EPS growth while investing in transformation. However, these decisions are at least partly financially motivated cost optimization. BTI has not walked away from its profitable but harmful combustible business — it continues to market and sell cigarettes while gradually diversifying, which is pragmatic business management rather than courageous purpose-driven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BTI at 11.42x forward earnings offers deep value in a defensive sector with a 5.89% dividend yield and consistent cash generation of $3.53B TTM levered free cash flow [2]. H1 2026 demonstrated improving execution with U.S. revenue up 8.5%, New Categories growing 18% to reach 19.8% of group revenue, Modern Oral surging 65.9%, and adjusted EPS growth of 7.9% [1]. The operating margin expanded 30bps to 43.7%, and management raised full-year EPS guidance toward the middle of the 5-8% range. The $760M AI-driven cost savings program provides a structural margin tailwind, and the Forward P/E of 11.42x trades at a steep discount to consumer staples peers (sector average ~20x), offering meaningful downside protection with optionality on the smokeless transformation accelerating [2]. For income-oriented investors, the 25+ year dividend track record and improving business mix provide reasonable yield sustainability.</w:t>
      </w:r>
    </w:p>
    <w:p>
      <w:pPr>
        <w:spacing w:after="120"/>
      </w:pPr>
      <w:r>
        <w:rPr>
          <w:rFonts w:ascii="Calibri" w:hAnsi="Calibri"/>
          <w:b w:val="0"/>
          <w:color w:val="3A4A28"/>
          <w:sz w:val="20"/>
        </w:rPr>
        <w:t>The bear case centers on structural decline, transformation pace, and organizational disruption. Combustible cigarette volumes continue declining globally at 2-4% annually, and BTI's consolidated revenue growth of just 2.9% constant-currency in H1 2026 shows that New Category gains are barely offsetting combustible erosion — the 5yr revenue CAGR remains near 1% [1]. The 67.5% payout ratio leaves limited room for dividend growth beyond the ~3% annual cadence, and only 3 consecutive years of dividend growth raises income sustainability questions. The 9,000-person workforce reduction (~20% of employees) creates execution risk in the AI transformation — operational disruption, institutional knowledge loss, and cultural damage could impair execution across 170+ markets [3]. ROE declined to 13.42% from 15.82%, and profit margin compressed from 30.32% to 24.99%, suggesting the transformation is consuming profitability [2]. APMEA revenue declined 6.3% with profit down 16.5%, exposing significant geographic weakness. Regulatory risks remain elevated: the Canadian healthcare settlement (C$32.5B), prior DOJ sanctions violations, and ongoing global tobacco regulation create persistent legal overhang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New Categories revenue growing 18% YoY with Modern Oral (Velo) up 65.9% — if the company captures meaningful share of the $10B+ global oral nicotine market alongside ZYN, the growth profile could re-rate BTI from 'declining tobacco' to 'nicotine transformation' narrative [1]</w:t>
      </w:r>
    </w:p>
    <w:p>
      <w:pPr>
        <w:spacing w:before="40" w:after="40"/>
        <w:ind w:left="283"/>
      </w:pPr>
      <w:r>
        <w:rPr>
          <w:rFonts w:ascii="Calibri" w:hAnsi="Calibri"/>
          <w:b/>
          <w:color w:val="4A6B25"/>
          <w:sz w:val="20"/>
        </w:rPr>
        <w:t xml:space="preserve">2. </w:t>
      </w:r>
      <w:r>
        <w:rPr>
          <w:rFonts w:ascii="Calibri" w:hAnsi="Calibri"/>
          <w:b w:val="0"/>
          <w:color w:val="3A4A28"/>
          <w:sz w:val="20"/>
        </w:rPr>
        <w:t>AI-driven cost restructuring targeting $760M in annual savings from 9,000 job reductions provides a multi-year margin expansion tailwind that could drive adjusted EPS growth toward the upper end of 5-8% guidance without requiring top-line acceleration [3]</w:t>
      </w:r>
    </w:p>
    <w:p>
      <w:pPr>
        <w:spacing w:before="40" w:after="40"/>
        <w:ind w:left="283"/>
      </w:pPr>
      <w:r>
        <w:rPr>
          <w:rFonts w:ascii="Calibri" w:hAnsi="Calibri"/>
          <w:b/>
          <w:color w:val="4A6B25"/>
          <w:sz w:val="20"/>
        </w:rPr>
        <w:t xml:space="preserve">3. </w:t>
      </w:r>
      <w:r>
        <w:rPr>
          <w:rFonts w:ascii="Calibri" w:hAnsi="Calibri"/>
          <w:b w:val="0"/>
          <w:color w:val="3A4A28"/>
          <w:sz w:val="20"/>
        </w:rPr>
        <w:t>U.S. business momentum with revenue up 8.5% and operating profit up 10.1% in H1 2026 — if Reynolds American sustains this trajectory through the Vuse and Velo portfolio, it validates the multi-category strategy in BTI's most profitable market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 decline in combustible cigarette volumes (2-4% annual decline globally) requires New Categories to grow fast enough to offset — at only 19.8% of revenue, smokeless products cannot yet compensate for the erosion of the ~80% combustible base, keeping consolidated growth below 3% [1]</w:t>
      </w:r>
    </w:p>
    <w:p>
      <w:pPr>
        <w:spacing w:before="40" w:after="40"/>
        <w:ind w:left="283"/>
      </w:pPr>
      <w:r>
        <w:rPr>
          <w:rFonts w:ascii="Calibri" w:hAnsi="Calibri"/>
          <w:b/>
          <w:color w:val="4A6B25"/>
          <w:sz w:val="20"/>
        </w:rPr>
        <w:t xml:space="preserve">2. </w:t>
      </w:r>
      <w:r>
        <w:rPr>
          <w:rFonts w:ascii="Calibri" w:hAnsi="Calibri"/>
          <w:b w:val="0"/>
          <w:color w:val="3A4A28"/>
          <w:sz w:val="20"/>
        </w:rPr>
        <w:t>Execution risk from eliminating 9,000 roles (20% of workforce) while simultaneously scaling New Categories across 170+ markets — operational disruption, institutional knowledge loss, and organizational culture damage could impair product quality, distribution, and regulatory compliance [3]</w:t>
      </w:r>
    </w:p>
    <w:p>
      <w:pPr>
        <w:spacing w:before="40" w:after="40"/>
        <w:ind w:left="283"/>
      </w:pPr>
      <w:r>
        <w:rPr>
          <w:rFonts w:ascii="Calibri" w:hAnsi="Calibri"/>
          <w:b/>
          <w:color w:val="4A6B25"/>
          <w:sz w:val="20"/>
        </w:rPr>
        <w:t xml:space="preserve">3. </w:t>
      </w:r>
      <w:r>
        <w:rPr>
          <w:rFonts w:ascii="Calibri" w:hAnsi="Calibri"/>
          <w:b w:val="0"/>
          <w:color w:val="3A4A28"/>
          <w:sz w:val="20"/>
        </w:rPr>
        <w:t>Regulatory and legal overhang including the Canadian healthcare settlement (C$32.5B), prior DOJ sanctions violations for North Korea transactions, potential new restrictions on vapour and oral nicotine products in the U.S. and EU, and the fundamental ESG challenge that many institutional mandates exclude tobacco entirely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Tobacco and nicotine is a physical-product business with structural immunity to AI displacement. Consumers purchase and consume tangible products — cigarettes, vapour devices, heated tobacco sticks, oral nicotine pouches — through heavily regulated retail channels with age verification requirements across 170+ markets [1]. The value chain involves agricultural supply chains, complex manufacturing, global distribution, and brand loyalty built over decades — none of which AI can substitute. AI is purely an operational enabler for BTI: the company is actively deploying AI to reduce costs by $760M annually through its workforce transformation [3]. No analysts have flagged AI as a substitution risk for tobacco or nicotine products. The one-point deduction reflects modest long-term uncertainty about whether AI-powered health monitoring tools could accelerate smoking cessation trends. AI Opportunity (0/1): BTI does not generate revenue from AI products or services. AI is deployed solely for internal cost optimization — the $760M savings target from the 9,000-person reduction — not as a customer-facing revenue source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-1</w:t>
      </w:r>
      <w:r>
        <w:rPr>
          <w:rFonts w:ascii="Calibri" w:hAnsi="Calibri"/>
          <w:b/>
          <w:color w:val="B8860B"/>
          <w:sz w:val="20"/>
        </w:rPr>
        <w:t xml:space="preserve">    MIXED</w:t>
      </w:r>
    </w:p>
    <w:p>
      <w:pPr>
        <w:spacing w:before="80" w:after="40"/>
      </w:pPr>
      <w:r>
        <w:rPr>
          <w:rFonts w:ascii="Calibri" w:hAnsi="Calibri"/>
          <w:b/>
          <w:color w:val="6E8450"/>
          <w:sz w:val="18"/>
        </w:rPr>
        <w:t xml:space="preserve">Negative: </w:t>
      </w:r>
      <w:r>
        <w:rPr>
          <w:rFonts w:ascii="Calibri" w:hAnsi="Calibri"/>
          <w:b/>
          <w:color w:val="DC2626"/>
          <w:sz w:val="17"/>
        </w:rPr>
        <w:t xml:space="preserve"> Tobacco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British American Tobacco H1 2026 Earnings — Revenue $16.22B (+2.9% CC), Adjusted EPS $2.23 (+7.9%), New Categories +18%, U.S. Revenue +8.5%, Operating Margin 43.7%, Modern Oral +65.9%, FY26 Guidance 3-5% Revenue / 5-8% EPS, July 2026</w:t>
      </w:r>
    </w:p>
    <w:p>
      <w:pPr>
        <w:spacing w:before="20" w:after="20"/>
        <w:ind w:left="170"/>
      </w:pPr>
      <w:r>
        <w:rPr>
          <w:rFonts w:ascii="Calibri" w:hAnsi="Calibri"/>
          <w:b/>
          <w:color w:val="4A6B25"/>
          <w:sz w:val="15"/>
        </w:rPr>
        <w:t xml:space="preserve">2. </w:t>
      </w:r>
      <w:r>
        <w:rPr>
          <w:rFonts w:ascii="Calibri" w:hAnsi="Calibri"/>
          <w:b w:val="0"/>
          <w:color w:val="3A4A28"/>
          <w:sz w:val="17"/>
        </w:rPr>
        <w:t>Yahoo Finance — BTI Key Statistics: $56.71 price, Forward P/E 11.42x, P/E 14.21x, ROE 13.42%, Profit Margin 24.99%, D/E 72.15%, Dividend Yield 5.89%, Payout Ratio 67.5%, Market Cap $122B, accessed August 2026</w:t>
      </w:r>
    </w:p>
    <w:p>
      <w:pPr>
        <w:spacing w:before="20" w:after="20"/>
        <w:ind w:left="170"/>
      </w:pPr>
      <w:r>
        <w:rPr>
          <w:rFonts w:ascii="Calibri" w:hAnsi="Calibri"/>
          <w:b/>
          <w:color w:val="4A6B25"/>
          <w:sz w:val="15"/>
        </w:rPr>
        <w:t xml:space="preserve">3. </w:t>
      </w:r>
      <w:r>
        <w:rPr>
          <w:rFonts w:ascii="Calibri" w:hAnsi="Calibri"/>
          <w:b w:val="0"/>
          <w:color w:val="3A4A28"/>
          <w:sz w:val="17"/>
        </w:rPr>
        <w:t>BAT AI Transformation — 9,000 Job Cuts (~20% Workforce), $760M Annual Savings Target, Btomorrow Ventures AI Strategy — BigGo Finance, CSP Daily News, 2025-2026</w:t>
      </w:r>
    </w:p>
    <w:p>
      <w:pPr>
        <w:spacing w:before="20" w:after="20"/>
        <w:ind w:left="170"/>
      </w:pPr>
      <w:r>
        <w:rPr>
          <w:rFonts w:ascii="Calibri" w:hAnsi="Calibri"/>
          <w:b/>
          <w:color w:val="4A6B25"/>
          <w:sz w:val="15"/>
        </w:rPr>
        <w:t xml:space="preserve">4. </w:t>
      </w:r>
      <w:r>
        <w:rPr>
          <w:rFonts w:ascii="Calibri" w:hAnsi="Calibri"/>
          <w:b w:val="0"/>
          <w:color w:val="3A4A28"/>
          <w:sz w:val="17"/>
        </w:rPr>
        <w:t>BAT ESG &amp; Legal — Canadian Healthcare Settlement C$32.5B, DOJ Sanctions Violations, Sustainalytics ESG Assessment, S&amp;P Global ESG Scores — Broadridge, illuminem, 2023-2026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