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BVN</w:t>
      </w:r>
      <w:r>
        <w:rPr>
          <w:rFonts w:ascii="Calibri" w:hAnsi="Calibri"/>
          <w:b/>
          <w:color w:val="1A2010"/>
          <w:sz w:val="40"/>
        </w:rPr>
        <w:t xml:space="preserve">  Compañía de Minas Buenaventura S.A.A.</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Peru</w:t>
      </w:r>
    </w:p>
    <w:p>
      <w:pPr>
        <w:spacing w:after="80"/>
      </w:pPr>
      <w:r>
        <w:rPr>
          <w:rFonts w:ascii="Calibri" w:hAnsi="Calibri"/>
          <w:b w:val="0"/>
          <w:color w:val="3A4A28"/>
          <w:sz w:val="20"/>
        </w:rPr>
        <w:t>Compañía de Minas Buenaventura is Peru's largest publicly traded precious metals mining company, engaged in the exploration, development, and operation of gold and silver mines. Listed on the Lima Stock Exchange since 1971 and NYSE since 1996, the company operates multiple mines across Peru and holds strategic interests in joint ventures. Q2 2026 revenue rose 43% YoY to $529M with net income surging 165% to $261M, driven by record gold prices, increased production at Yumpag, and the ramp-up of the San Gabriel gold project which achieved first commercial sales [1]. Q1 2026 revenue more than doubled to $624.6M with net income of $355M. H1 2026 EBITDA reached $663.4M versus $256.4M in the prior year period. Board appointed Roque Eduardo Benavides Ganoza as chairman and named Shehzad Bharmal as lead independent director in April 2026 [2].</w:t>
      </w:r>
    </w:p>
    <w:p>
      <w:r>
        <w:rPr>
          <w:rFonts w:ascii="Calibri" w:hAnsi="Calibri"/>
          <w:b/>
          <w:color w:val="6E8450"/>
          <w:sz w:val="18"/>
        </w:rPr>
        <w:t>3,200 Employees · https://buenaventura.com/en/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Buenaventura successfully developed and ramped up the San Gabriel gold mine, which achieved first commercial gold sales in Q2 2026 — a significant operational milestone that opens a new production source. Yumpag silver production expansion and operational optimization across existing mines represent incremental but meaningful project execution [1]. However, these are standard mine development activities for a precious metals company, not business model transformations or market-defining pivots. AI Deployment (0/2): No evidence of AI-powered products or quantifiable AI-driven operational improvements. The company has not disclosed AI deployment for geological modeling, autonomous mining, or operational optimization. Market Share (0/2): Buenaventura is a mid-tier precious metals producer, the largest publicly traded miner in Peru but a relatively small player globally compared to Newmont (~6M oz/yr gold), Barrick (~4M oz/yr), or Agnico Eagle (~3.5M oz/yr). Consolidated gold production of 30,500 oz in Q2 2026 is modest at global scale [1]. Product Pipeline (1/2): San Gabriel is ramping toward full production capacity with visible near-term output growth. Exploration activities across Peru provide long-term optionality. However, no specific next-gen projects with named timelines beyond San Gabriel have been disclosed. R&amp;D Intensity (0/1): Mining companies have exploration budgets rather than traditional R&amp;D spending. Buenaventura's technology investment in mining operations does not approach industry-leading levels.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Buenaventura's mission centers on responsible mining and resource extraction in Peru. The purpose statement does not articulate a distinctive vision of a better future — it is interchangeable with any mining company operating in a developing country. The social license to operate is important but is more of a business necessity than a transformative cause [3]. Community Impact (1/2): The company invests meaningfully in community programs for rural Peru — water management and recycling initiatives, land rehabilitation through reforestation and biodiversity protection, hospitals and mobile health clinics in mining communities, and education scholarships and teacher training programs [3]. These are significant for remote Peruvian communities but represent standard social license investments for the mining industry. Employee Retention (0/2): No specific employee retention or tenure data available. The appointment of the former HR Manager as VP of Sustainability suggests some organizational development focus, but no evidence of above-average retention or mission-driven engagement [2]. Insider Buying (0/2): No evidence of meaningful net insider buying by executives or board members. Recent board restructuring (new chairman and lead director) reflects governance improvement but not personal financial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from available financial metrics (yfinance unavailable; data sourced from public filings and financial databases). Buenaventura demonstrates exceptional financial strength across nearly all metrics during the current gold bull market. D/E of 18% scores a perfect 1.0 — minimal leverage for a mining company, well below the 70% target [1]. ROE of 12.32% scores 0.82 (2x weight for growth stocks) — the only metric below target, though forward ROE is projected at 24.76% as higher gold prices flow through fully [1]. Revenue growth YoY estimated at ~60% (Q1 doubled, Q2 +43%) scores 1.0. Estimated 5-year revenue CAGR of ~22% scores 1.0 (2x weight), reflecting the gold price super-cycle and San Gabriel ramp-up. Forward P/E of 13.14 scores 1.0 — well below the 20x target. Profit margin of 47.72% scores 1.0 — exceptional for any industry, reflecting high gold prices against established cost structures [1]. PEG excluded as unavailable. Weighted sum: 7.64/8 × 10 = 9.6, rounds to 10. Passes liquidity floor easily with estimated daily dollar volume of ~$30M.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Buenaventura is a resource extraction company that exists to mine gold and silver profitably — a fundamentally finite game orientation centered on commodity production rather than an enduring cause. The company has operated for over 50 years in Peru's challenging mining environment, showing institutional durability, but this persistence is driven by resource economics rather than a purposeful just cause. The Benavides family has maintained multi-generational involvement in the company's leadership, providing stability but also raising questions about whether governance serves the cause or the family. Recent board restructuring (new chairman and lead director in April 2026) suggests governance modernization, but the competitive posture remains focused on operational execution rather than transformative ambition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Buenaventura exists to extract gold and silver from Peruvian mines and generate returns for shareholders. While mining enables economic development in rural Peru and the company invests in community health, education, and environmental programs, these are social license requirements rather than a driving purpose [3]. The company does not articulate a vision of a future state worth sacrificing for — the mission is commercial extraction dressed in responsible mining language, interchangeable with any peer.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Buenaventura has institutional stability — operating since the 1950s with multi-generational Benavides family involvement and consistent mine operations across Peru. The appointment of the former HR Manager as VP of Sustainability suggests attention to employee and community welfare [2]. However, mining operations in remote Peruvian highlands face inherent labor challenges, and no specific data on employee trust, empowerment, turnover, or cultural practices is available. The industry context (difficult working conditions, remote locations, community tensions) makes high organizational trust structurally challenging.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Buenaventura's competitive language focuses on its unique position as Peru's largest publicly traded miner and the quality of its mineral reserves. No evidence of management commentary acknowledging competitors' strengths (Newmont's scale, Barrick's operational excellence, Agnico Eagle's growth pipeline) as motivation to improve. The company competes for reserves and permits rather than learning from rivals' operational innovations.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Buenaventura has been a precious metals miner for over 70 years with no evidence of transformative business model reinvention. The company mines gold and silver in Peru — this is what it has always done and what it continues to do. Mine development (San Gabriel, Yumpag) represents incremental expansion of the same core activity. The company has not pivoted to new metals, new geographies (outside Peru), new business models, or new industries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Buenaventura has shown conviction in investing through Peru's volatile political environment — continuing mine development (San Gabriel, $400M+ project) through periods of political instability, community protests, and regulatory uncertainty that have discouraged other foreign miners from Peru [1]. The board restructuring in April 2026 (new chairman, lead independent director) represents governance courage in modernizing a family-influenced company. However, these decisions serve commercial self-preservation in a favorable gold market rather than cause-driven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Buenaventura is a gold mining turnaround story firing on all cylinders — Q2 2026 revenue of $529M (+43% YoY) with net income surging 165% to $261M, following Q1 revenue that more than doubled to $624.6M with net income of $355M [1]. H1 2026 EBITDA of $663.4M versus $256.4M a year earlier reflects the dual tailwinds of record gold prices and the San Gabriel mine ramp-up, which achieved first commercial sales in Q2. The financial profile is exceptional: profit margin of 47.72%, D/E of just 18%, and forward P/E of 13.14 — deeply discounted to the broader market despite accelerating earnings growth. Raised 2026 silver guidance to 16.1 million ounces demonstrates production momentum. The company represents the purest play on Peru's world-class mineral endowment with the financial strength ($1.68B cash) to fund continued exploration and development. Dividend yield of 3.58% provides current income during the gold bull market.</w:t>
      </w:r>
    </w:p>
    <w:p>
      <w:pPr>
        <w:spacing w:after="120"/>
      </w:pPr>
      <w:r>
        <w:rPr>
          <w:rFonts w:ascii="Calibri" w:hAnsi="Calibri"/>
          <w:b w:val="0"/>
          <w:color w:val="3A4A28"/>
          <w:sz w:val="20"/>
        </w:rPr>
        <w:t>The bear case centers on gold price cyclicality, Peru country risk, and governance concentration. Buenaventura's exceptional H1 2026 results are heavily driven by gold prices near all-time highs — a mean reversion in gold toward $2,000/oz from current levels of $3,000+ would compress margins, reduce production economics, and potentially impair the San Gabriel project's returns. Peru's political instability remains a persistent risk — mining tax increases, community opposition, and environmental regulatory changes have historically disrupted operations, and the current leftist-leaning political environment maintains that overhang [2]. The Benavides family's multi-generational influence on the board raises governance concentration concerns that may deter institutional investors seeking independent oversight. Consolidated gold production of 30,500 oz in Q2 is modest by global standards, limiting Buenaventura's ability to influence pricing or achieve economies of scale. The stock's innovation (2/10) and inspiration (2/10) scores reflect a company that excels at execution but lacks the transformative vision or mission-driven culture that the IOWN framework values — strong current financials may not translate into long-term competitive durability if gold prices normalize.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San Gabriel gold mine ramp-up toward full production capacity — first commercial sales in Q2 2026, with increasing quarterly output expected to drive sustained revenue growth independent of gold price movements [1]</w:t>
      </w:r>
    </w:p>
    <w:p>
      <w:pPr>
        <w:spacing w:before="40" w:after="40"/>
        <w:ind w:left="283"/>
      </w:pPr>
      <w:r>
        <w:rPr>
          <w:rFonts w:ascii="Calibri" w:hAnsi="Calibri"/>
          <w:b/>
          <w:color w:val="4A6B25"/>
          <w:sz w:val="20"/>
        </w:rPr>
        <w:t xml:space="preserve">2. </w:t>
      </w:r>
      <w:r>
        <w:rPr>
          <w:rFonts w:ascii="Calibri" w:hAnsi="Calibri"/>
          <w:b w:val="0"/>
          <w:color w:val="3A4A28"/>
          <w:sz w:val="20"/>
        </w:rPr>
        <w:t>Record gold prices above $3,000/oz creating exceptional margin expansion — profit margin of 47.72% and H1 EBITDA of $663.4M (2.6x YoY) could further expand if gold rallies toward $3,500+ as some analysts forecast</w:t>
      </w:r>
    </w:p>
    <w:p>
      <w:pPr>
        <w:spacing w:before="40" w:after="40"/>
        <w:ind w:left="283"/>
      </w:pPr>
      <w:r>
        <w:rPr>
          <w:rFonts w:ascii="Calibri" w:hAnsi="Calibri"/>
          <w:b/>
          <w:color w:val="4A6B25"/>
          <w:sz w:val="20"/>
        </w:rPr>
        <w:t xml:space="preserve">3. </w:t>
      </w:r>
      <w:r>
        <w:rPr>
          <w:rFonts w:ascii="Calibri" w:hAnsi="Calibri"/>
          <w:b w:val="0"/>
          <w:color w:val="3A4A28"/>
          <w:sz w:val="20"/>
        </w:rPr>
        <w:t>Silver production guidance raised to 16.1 million ounces for 2026 — Yumpag expansion and silver's dual role as precious metal and industrial input (solar, electronics, AI hardware) provide diversification from gold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cyclicality — current record prices near $3,000/oz drive the exceptional profit margin and earnings growth, but gold is cyclical and a normalization toward $2,000-2,200/oz would compress margins by 30-40%, reduce free cash flow, and potentially impair development project economics</w:t>
      </w:r>
    </w:p>
    <w:p>
      <w:pPr>
        <w:spacing w:before="40" w:after="40"/>
        <w:ind w:left="283"/>
      </w:pPr>
      <w:r>
        <w:rPr>
          <w:rFonts w:ascii="Calibri" w:hAnsi="Calibri"/>
          <w:b/>
          <w:color w:val="4A6B25"/>
          <w:sz w:val="20"/>
        </w:rPr>
        <w:t xml:space="preserve">2. </w:t>
      </w:r>
      <w:r>
        <w:rPr>
          <w:rFonts w:ascii="Calibri" w:hAnsi="Calibri"/>
          <w:b w:val="0"/>
          <w:color w:val="3A4A28"/>
          <w:sz w:val="20"/>
        </w:rPr>
        <w:t>Peru country risk — political instability, mining tax increases, community opposition to mining, and environmental regulatory changes have historically disrupted operations; the Conga mine conflict (a Buenaventura joint venture) resulted in project suspension due to community protests [2]</w:t>
      </w:r>
    </w:p>
    <w:p>
      <w:pPr>
        <w:spacing w:before="40" w:after="40"/>
        <w:ind w:left="283"/>
      </w:pPr>
      <w:r>
        <w:rPr>
          <w:rFonts w:ascii="Calibri" w:hAnsi="Calibri"/>
          <w:b/>
          <w:color w:val="4A6B25"/>
          <w:sz w:val="20"/>
        </w:rPr>
        <w:t xml:space="preserve">3. </w:t>
      </w:r>
      <w:r>
        <w:rPr>
          <w:rFonts w:ascii="Calibri" w:hAnsi="Calibri"/>
          <w:b w:val="0"/>
          <w:color w:val="3A4A28"/>
          <w:sz w:val="20"/>
        </w:rPr>
        <w:t>Governance concentration with multi-generational Benavides family influence on the board may limit independent oversight and deter institutional ESG-focused investors, despite recent board modernization with an independent lead director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and silver mining is among the most AI-immune business models — the physical extraction of precious metals from underground and open-pit mines requires heavy equipment, geological expertise, regulatory compliance with environmental and safety standards, and physical infrastructure that AI structurally cannot displace [1]. AI may enhance geological survey modeling, optimize extraction routes, and improve safety monitoring, but these are efficiency tools that augment rather than replace the core physical operations. AI acceleration of the broader economy could increase demand for gold (as an inflation hedge and AI hardware component) and silver (used in electronics, solar panels, and AI data center infrastructure). Analysts have not flagged AI as a disruption risk for precious metals mining. The business involves irreplaceable physical-world operations in specific Peruvian mine sites with regulatory permits. AI Opportunity (0/1): Buenaventura does not generate AI-related revenue. Any internal use of computational tools for geological modeling or operational optimization has not been disclosed or quantified.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Buenaventura Q1 and Q2 2026 Financial Results — Q1 revenue $624.6M (+100% YoY), NI $355M; Q2 revenue $529M (+43%), NI $261M (+165%); H1 EBITDA $663.4M; gold production 30,500 oz Q2 (+12%); silver guidance raised to 16.1M oz — SEC Form 6-K, Rio Times, Yahoo Finance</w:t>
      </w:r>
    </w:p>
    <w:p>
      <w:pPr>
        <w:spacing w:before="20" w:after="20"/>
        <w:ind w:left="170"/>
      </w:pPr>
      <w:r>
        <w:rPr>
          <w:rFonts w:ascii="Calibri" w:hAnsi="Calibri"/>
          <w:b/>
          <w:color w:val="4A6B25"/>
          <w:sz w:val="15"/>
        </w:rPr>
        <w:t xml:space="preserve">2. </w:t>
      </w:r>
      <w:r>
        <w:rPr>
          <w:rFonts w:ascii="Calibri" w:hAnsi="Calibri"/>
          <w:b w:val="0"/>
          <w:color w:val="3A4A28"/>
          <w:sz w:val="17"/>
        </w:rPr>
        <w:t>Buenaventura Board and Leadership — Chairman Roque Benavides Ganoza, Lead Director Shehzad Bharmal (April 2026); VP Sustainability José Malca La Fuente; board restructuring — Globe and Mail, Simply Wall St, StockTitan</w:t>
      </w:r>
    </w:p>
    <w:p>
      <w:pPr>
        <w:spacing w:before="20" w:after="20"/>
        <w:ind w:left="170"/>
      </w:pPr>
      <w:r>
        <w:rPr>
          <w:rFonts w:ascii="Calibri" w:hAnsi="Calibri"/>
          <w:b/>
          <w:color w:val="4A6B25"/>
          <w:sz w:val="15"/>
        </w:rPr>
        <w:t xml:space="preserve">3. </w:t>
      </w:r>
      <w:r>
        <w:rPr>
          <w:rFonts w:ascii="Calibri" w:hAnsi="Calibri"/>
          <w:b w:val="0"/>
          <w:color w:val="3A4A28"/>
          <w:sz w:val="17"/>
        </w:rPr>
        <w:t>Buenaventura ESG and Community Programs — Water recycling, reforestation, biodiversity protection, hospitals, mobile clinics, education scholarships; Peru mining ESG challenges — Farmonaut, CSRHub, ResponsibilityReports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