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BWA</w:t>
      </w:r>
      <w:r>
        <w:rPr>
          <w:rFonts w:ascii="Calibri" w:hAnsi="Calibri"/>
          <w:b/>
          <w:color w:val="1A2010"/>
          <w:sz w:val="40"/>
        </w:rPr>
        <w:t xml:space="preserve">  BorgWarner Inc.</w:t>
      </w:r>
    </w:p>
    <w:p>
      <w:pPr>
        <w:spacing w:after="120"/>
      </w:pPr>
      <w:r>
        <w:rPr>
          <w:rFonts w:ascii="Calibri" w:hAnsi="Calibri"/>
          <w:b/>
          <w:color w:val="6E8450"/>
          <w:sz w:val="18"/>
        </w:rPr>
        <w:t>GROWTH SLEEVE · 2026-09-04 · Inspire: 65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Discretionary · Auto Parts &amp; Equipment · NYSE · United States</w:t>
      </w:r>
    </w:p>
    <w:p>
      <w:pPr>
        <w:spacing w:after="80"/>
      </w:pPr>
      <w:r>
        <w:rPr>
          <w:rFonts w:ascii="Calibri" w:hAnsi="Calibri"/>
          <w:b w:val="0"/>
          <w:color w:val="3A4A28"/>
          <w:sz w:val="20"/>
        </w:rPr>
        <w:t>BorgWarner Inc. is a global product leader in innovative and sustainable mobility solutions for the vehicle market, with operations in 22 countries. Products include turbochargers, e-motors, power electronics, battery systems, and thermal management solutions for passenger cars, commercial vehicles, and off-highway equipment. The company is expanding into AI data center power generation through its TurboCell turbine technology. Q2 2026 revenue of $3.65B beat estimates with adjusted operating margin rising 100bps to 11.3%, and management raised full-year adjusted EPS guidance to $5.05-$5.30. Stock up 39.6% YTD under new CEO Joseph Fadool.</w:t>
      </w:r>
    </w:p>
    <w:p>
      <w:r>
        <w:rPr>
          <w:rFonts w:ascii="Calibri" w:hAnsi="Calibri"/>
          <w:b/>
          <w:color w:val="6E8450"/>
          <w:sz w:val="18"/>
        </w:rPr>
        <w:t>46,000 Employees · https://www.borgwarner.com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BorgWarner executed a significant strategic pivot from pure ICE powertrain to electrified propulsion, acquiring BEV/HEV technology companies, while entering the AI data center power market with TurboCell turbine generators targeting 2027 production [3]. Q2 2026 adjusted operating margin rose 100bps to 11.3%, validating operational transformation under CEO Fadool [1]. The 12 new product awards in Q1 2026 across the portfolio demonstrate continued OEM relevance. AI Deployment (1/2): BorgWarner integrates AI across manufacturing for predictive maintenance, production optimization, and supply chain management, though no quantified AI-driven savings have been publicly reported [5]. Market Share (1/2): BWA is the global turbocharger leader and holds meaningful positions in ePropulsion components, with Q2 2026 revenue of $3.65B beating estimates by $70M, reflecting customer traction across hybrid and EV platforms [1]. Product Pipeline (1/2): TurboCell turbine generators for AI data center power with 2027 production and expanding ePropulsion lineup for hybrid/BEV platforms represent new addressable markets [3]. R&amp;D Intensity (1/1): Substantial eMobility R&amp;D investment above auto parts industry average, with multi-year technology transformation commitment including advanced materials and electrification.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BorgWarner's purpose centers on delivering 'a clean, energy-efficient world' through sustainable mobility solutions — clear and directional but not distinctive among automotive suppliers pivoting to electrification. It identifies what they do but doesn't articulate a transformative vision beyond the industry-standard electrification narrative. Community Impact (1/2): Named to TIME's Most Sustainable Companies 2026, with sustainability programs that increased supplier ESG self-assessment participation by 35% and science-based emissions reduction targets for Scopes 1-3 [4]. Employee Retention (1/2): Comparably data shows BorgWarner's executive team rated in the top 5% of similar-size companies with 10,000+ employees; Glassdoor rating of 3.9/5 with 70% of employees recommending the company and OneBW culture values of Integrity, Excellence, Responsibility, Inclusion, and Collaboration [5]. However, only 54% have positive business outlook, reflecting transformation uncertainty. Insider Buying (0/2): No evidence of meaningful net insider buying by CEO Fadool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using Growth weights. Q2 2026 delivered $3.65B revenue (beating $3.58B estimate) with adjusted operating margin of 11.3%, up 100bps YoY, and management raised full-year adjusted EPS guidance to $5.05-$5.30 from $5.00-$5.20 [1]. Forward PE of 12.88 on $65.10 stock price is well below the 20 target (score 1.0). D/E of 70% is at target (score 1.0). PEG ratio of 1.03 is near the 1.0 target (score 0.985 at 2x weight). ROE improved to 8.06% but remains below 15% target (score 0.537 at 2x weight). Revenue growth is approximately flat YoY on a reported basis with FY2026 guidance of $14.0-14.3B vs FY2025's $14.3B (score 0.67). 5-year revenue CAGR of ~4.8% (score 0.653 at 2x weight). GAAP profit margin of 2.89% TTM is compressed by restructuring charges and Battery segment headwinds (score 0.145). FY2026 FCF guidance of $900M-$1.1B provides capital return flexibility. BWA returned $185M to shareholders in Q1 alone [1]. Daily dollar volume of ~$143M provides ample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BorgWarner under new CEO Joseph Fadool is executing an industrial transformation from ICE powertrain to electrified mobility and AI data center power, delivering Q2 2026 margin expansion of 100bps and a guidance raise. However, the transformation reads as strategic necessity rather than purpose-driven infinite thinking. Rapid strategic pivots — from Charging Forward eMobility to Battery Systems restructuring to TurboCell data center entry — suggest reactive adaptation rather than a consistent Just Cause. Fadool's promotion from COO provides operational continuity but the leadership transition has not yet been tested through adversity.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BorgWarner's 'clean, energy-efficient world' purpose is genuine but reads as strategic positioning rather than a Just Cause validated by decades of consistent execution. The company's rapid strategic pivots — from ICE leadership to eMobility to Battery Energy Systems downsizing to AI data center power — suggest the purpose adapts to market opportunity rather than driving long-term direction. Sinek would note a true Just Cause does not shift with market trends.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3.9/5 rating with 70% recommendation rate and Comparably executive team rated in top 5% of companies with 10,000+ employees [5]. CEO Fadool's internal promotion from COO demonstrates organizational trust in succession planning. However, Battery Energy Systems restructuring and 54% positive business outlook suggest organizational uncertainty during the transformation period.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BorgWarner's competitive language focuses on product awards, market leadership in turbochargers, and ePropulsion positioning rather than learning from competitors [1]. The company frames competition against Bosch, Continental, and Denso in traditional market share terms with no evidence of management referencing rivals' strengths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BorgWarner has evolved significantly from a pure ICE turbocharger company to a diversified propulsion and power technology provider, entering eMobility, battery systems, and now AI data center power generation [3]. The TurboCell pivot demonstrates genuine strategic flexibility — applying turbine expertise to a non-automotive market. These are meaningful incremental pivots but appear driven by market necessity (ICE decline, AI data center demand) rather than a Just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BorgWarner invested heavily in eMobility despite near-term margin pressure, spending billions on acquisitions and technology development [1]. The TurboCell data center power initiative represents a bold entry into an entirely new market [3]. CEO Fadool's Q2 2026 guidance raise to $5.05-5.30 EPS despite declining automotive production shows operational confidence. However, the Battery Energy Systems restructuring and strategic retreat from some EV commitments suggest initial bets were not sustained through difficulty.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BorgWarner delivered strong Q2 2026 results with $3.65B revenue beating estimates, adjusted operating margin rising 100bps to 11.3%, and management raising full-year adjusted EPS guidance to $5.05-$5.30 — all while the stock has rallied 39.6% YTD to $65.10 [1]. At 12.88x forward earnings with PEG of 1.03 and D/E of 70%, BWA trades at a reasonable valuation for a diversified powertrain supplier with an emerging AI data center power opportunity through TurboCell targeting 2027 production [3]. The 12 new product awards in Q1 2026 provide multi-year revenue visibility, FY2026 FCF guidance of $900M-$1.1B supports continued capital return ($185M in Q1 alone), and the Inspire Impact Score of 65 (ALIGNED) with zero negative attributions and 19 positive ESG attributes makes BWA one of the highest Inspire-rated stocks in the automotive sector [1]. CEO Fadool's operational discipline is expanding margins despite a challenging global auto production environment.</w:t>
      </w:r>
    </w:p>
    <w:p>
      <w:pPr>
        <w:spacing w:after="120"/>
      </w:pPr>
      <w:r>
        <w:rPr>
          <w:rFonts w:ascii="Calibri" w:hAnsi="Calibri"/>
          <w:b w:val="0"/>
          <w:color w:val="3A4A28"/>
          <w:sz w:val="20"/>
        </w:rPr>
        <w:t>The bear case centers on structural automotive headwinds and transformation execution risk. FY2026 revenue guidance of $14.0-14.3B implies flat to negative growth versus FY2025's $14.3B as weighted light vehicle production is expected down 3% to flat, and organic revenue declined 4.2% in Q1 [1][2]. GAAP profit margin of 2.89% TTM reflects restructuring charges, Battery Energy Systems segment underperformance, and the inherent margin dilution of transitioning from mature ICE products to early-stage electrified components. ROE of 8.06%, while improved, remains well below the 15% target. The TurboCell AI data center power initiative is entirely unproven — manufacturing turbine generators for static power is a fundamental departure from automotive-scale production, and delays past the 2027 timeline would damage credibility [3]. The legacy ICE turbocharger business faces secular decline as EV adoption accelerates, creating a race to replace declining revenue with new electrified and industrial streams before the ICE decline accelerates beyond management's ability to offset.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TurboCell turbine generator production launch in 2027 for AI data center power, opening a new addressable market and validating BorgWarner's industrial diversification beyond declining ICE automotive [3]</w:t>
      </w:r>
    </w:p>
    <w:p>
      <w:pPr>
        <w:spacing w:before="40" w:after="40"/>
        <w:ind w:left="283"/>
      </w:pPr>
      <w:r>
        <w:rPr>
          <w:rFonts w:ascii="Calibri" w:hAnsi="Calibri"/>
          <w:b/>
          <w:color w:val="4A6B25"/>
          <w:sz w:val="20"/>
        </w:rPr>
        <w:t xml:space="preserve">2. </w:t>
      </w:r>
      <w:r>
        <w:rPr>
          <w:rFonts w:ascii="Calibri" w:hAnsi="Calibri"/>
          <w:b w:val="0"/>
          <w:color w:val="3A4A28"/>
          <w:sz w:val="20"/>
        </w:rPr>
        <w:t>Continued adjusted operating margin expansion toward 11%+ as restructuring benefits, cost discipline, and favorable product mix shift toward higher-margin ePropulsion components compound [1]</w:t>
      </w:r>
    </w:p>
    <w:p>
      <w:pPr>
        <w:spacing w:before="40" w:after="40"/>
        <w:ind w:left="283"/>
      </w:pPr>
      <w:r>
        <w:rPr>
          <w:rFonts w:ascii="Calibri" w:hAnsi="Calibri"/>
          <w:b/>
          <w:color w:val="4A6B25"/>
          <w:sz w:val="20"/>
        </w:rPr>
        <w:t xml:space="preserve">3. </w:t>
      </w:r>
      <w:r>
        <w:rPr>
          <w:rFonts w:ascii="Calibri" w:hAnsi="Calibri"/>
          <w:b w:val="0"/>
          <w:color w:val="3A4A28"/>
          <w:sz w:val="20"/>
        </w:rPr>
        <w:t>FY2026 FCF guidance of $900M-$1.1B supports accelerated capital return through buybacks and potential dividend increases, with $185M returned in Q1 alone and stock up 39.6% YTD demonstrating shareholder value creation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EV adoption accelerating faster than expected could compress turbocharger and ICE powertrain demand — still the majority of BWA revenue — before eMobility and TurboCell revenues scale to offset the decline</w:t>
      </w:r>
    </w:p>
    <w:p>
      <w:pPr>
        <w:spacing w:before="40" w:after="40"/>
        <w:ind w:left="283"/>
      </w:pPr>
      <w:r>
        <w:rPr>
          <w:rFonts w:ascii="Calibri" w:hAnsi="Calibri"/>
          <w:b/>
          <w:color w:val="4A6B25"/>
          <w:sz w:val="20"/>
        </w:rPr>
        <w:t xml:space="preserve">2. </w:t>
      </w:r>
      <w:r>
        <w:rPr>
          <w:rFonts w:ascii="Calibri" w:hAnsi="Calibri"/>
          <w:b w:val="0"/>
          <w:color w:val="3A4A28"/>
          <w:sz w:val="20"/>
        </w:rPr>
        <w:t>TurboCell data center power initiative faces material execution risk as manufacturing turbine generators for static power is a fundamental departure from automotive-scale production with no proven track record [3]</w:t>
      </w:r>
    </w:p>
    <w:p>
      <w:pPr>
        <w:spacing w:before="40" w:after="40"/>
        <w:ind w:left="283"/>
      </w:pPr>
      <w:r>
        <w:rPr>
          <w:rFonts w:ascii="Calibri" w:hAnsi="Calibri"/>
          <w:b/>
          <w:color w:val="4A6B25"/>
          <w:sz w:val="20"/>
        </w:rPr>
        <w:t xml:space="preserve">3. </w:t>
      </w:r>
      <w:r>
        <w:rPr>
          <w:rFonts w:ascii="Calibri" w:hAnsi="Calibri"/>
          <w:b w:val="0"/>
          <w:color w:val="3A4A28"/>
          <w:sz w:val="20"/>
        </w:rPr>
        <w:t>GAAP profit margin of 2.89% and revenue guidance of $14.0-14.3B (flat to down) signal that the operational transformation, while improving margins, has not yet restored top-line growth or GAAP profitability to levels commensurate with the stock's 39.6% YTD rally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BorgWarner's core business involves physical-world manufacturing of turbochargers, e-motors, power electronics, and thermal systems — processes AI structurally cannot displace [1]. Automotive OEM supply contracts, decades of manufacturing expertise, and regulatory certifications create deep defensive moats. The broader EV transition is an industry structural shift, not AI disruption. AI may increase demand through smart factory automation and autonomous vehicle component needs. AI Opportunity (1/1): The TurboCell turbine generator for AI data center power represents a direct new revenue stream from AI infrastructure buildout, with production targeted for 2027 and specific customer commitments [3]. This uniquely positions BWA as a physical-world supplier to the AI data center ecosystem, generating revenue directly from AI expansion.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BorgWarner Q2 2026 Earnings — revenue $3.65B beat, adjusted operating margin 11.3% up 100bps, raised EPS guidance to $5.05-5.30, Yahoo Finance, August 2026</w:t>
      </w:r>
    </w:p>
    <w:p>
      <w:pPr>
        <w:spacing w:before="20" w:after="20"/>
        <w:ind w:left="170"/>
      </w:pPr>
      <w:r>
        <w:rPr>
          <w:rFonts w:ascii="Calibri" w:hAnsi="Calibri"/>
          <w:b/>
          <w:color w:val="4A6B25"/>
          <w:sz w:val="15"/>
        </w:rPr>
        <w:t xml:space="preserve">2. </w:t>
      </w:r>
      <w:r>
        <w:rPr>
          <w:rFonts w:ascii="Calibri" w:hAnsi="Calibri"/>
          <w:b w:val="0"/>
          <w:color w:val="3A4A28"/>
          <w:sz w:val="17"/>
        </w:rPr>
        <w:t>BorgWarner FY2026 Guidance — revenue $14.0-14.3B, organic sales down 3.5% to 1.5%, FCF $900M-1.1B, February 2026</w:t>
      </w:r>
    </w:p>
    <w:p>
      <w:pPr>
        <w:spacing w:before="20" w:after="20"/>
        <w:ind w:left="170"/>
      </w:pPr>
      <w:r>
        <w:rPr>
          <w:rFonts w:ascii="Calibri" w:hAnsi="Calibri"/>
          <w:b/>
          <w:color w:val="4A6B25"/>
          <w:sz w:val="15"/>
        </w:rPr>
        <w:t xml:space="preserve">3. </w:t>
      </w:r>
      <w:r>
        <w:rPr>
          <w:rFonts w:ascii="Calibri" w:hAnsi="Calibri"/>
          <w:b w:val="0"/>
          <w:color w:val="3A4A28"/>
          <w:sz w:val="17"/>
        </w:rPr>
        <w:t>BorgWarner TurboCell AI Data Center Power Expansion — 2027 production target, industrial diversification, Yahoo Finance, 2026</w:t>
      </w:r>
    </w:p>
    <w:p>
      <w:pPr>
        <w:spacing w:before="20" w:after="20"/>
        <w:ind w:left="170"/>
      </w:pPr>
      <w:r>
        <w:rPr>
          <w:rFonts w:ascii="Calibri" w:hAnsi="Calibri"/>
          <w:b/>
          <w:color w:val="4A6B25"/>
          <w:sz w:val="15"/>
        </w:rPr>
        <w:t xml:space="preserve">4. </w:t>
      </w:r>
      <w:r>
        <w:rPr>
          <w:rFonts w:ascii="Calibri" w:hAnsi="Calibri"/>
          <w:b w:val="0"/>
          <w:color w:val="3A4A28"/>
          <w:sz w:val="17"/>
        </w:rPr>
        <w:t>BorgWarner Named to TIME's Most Sustainable Companies 2026, Sustainability Report with science-based emissions targets, 2026</w:t>
      </w:r>
    </w:p>
    <w:p>
      <w:pPr>
        <w:spacing w:before="20" w:after="20"/>
        <w:ind w:left="170"/>
      </w:pPr>
      <w:r>
        <w:rPr>
          <w:rFonts w:ascii="Calibri" w:hAnsi="Calibri"/>
          <w:b/>
          <w:color w:val="4A6B25"/>
          <w:sz w:val="15"/>
        </w:rPr>
        <w:t xml:space="preserve">5. </w:t>
      </w:r>
      <w:r>
        <w:rPr>
          <w:rFonts w:ascii="Calibri" w:hAnsi="Calibri"/>
          <w:b w:val="0"/>
          <w:color w:val="3A4A28"/>
          <w:sz w:val="17"/>
        </w:rPr>
        <w:t>Glassdoor / Comparably — BWA employee reviews 3.9/5, executive team top 5%, OneBW culture,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StockAnalysis.com — BWA key statistics, Forward PE 12.88, D/E 70%, ROE 8.06%,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