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BXSL</w:t>
      </w:r>
      <w:r>
        <w:rPr>
          <w:rFonts w:ascii="Calibri" w:hAnsi="Calibri"/>
          <w:b/>
          <w:color w:val="1A2010"/>
          <w:sz w:val="40"/>
        </w:rPr>
        <w:t xml:space="preserve">  Blackstone Secured Lending Fund</w:t>
      </w:r>
    </w:p>
    <w:p>
      <w:pPr>
        <w:spacing w:after="120"/>
      </w:pPr>
      <w:r>
        <w:rPr>
          <w:rFonts w:ascii="Calibri" w:hAnsi="Calibri"/>
          <w:b/>
          <w:color w:val="6E8450"/>
          <w:sz w:val="18"/>
        </w:rPr>
        <w:t>DIVIDEND SLEEVE · 2026-09-05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Private Credit · NYSE · United States</w:t>
      </w:r>
    </w:p>
    <w:p>
      <w:pPr>
        <w:spacing w:after="80"/>
      </w:pPr>
      <w:r>
        <w:rPr>
          <w:rFonts w:ascii="Calibri" w:hAnsi="Calibri"/>
          <w:b w:val="0"/>
          <w:color w:val="3A4A28"/>
          <w:sz w:val="20"/>
        </w:rPr>
        <w:t>Blackstone Secured Lending Fund is a publicly traded business development company (BDC) externally managed by Blackstone, the world's largest alternative asset manager. BXSL originates and invests in senior secured first-lien loans to private equity-backed middle-market companies, with 96.8% of its $13.4B portfolio in first-lien debt as of Q2 2026. The fund IPO'd in October 2021 and distributes substantially all net investment income as quarterly dividends. Q2 2026 total investment income was $320.5M (-7.1% YoY) with NAV declining to $25.53 per share (-2.8% QoQ).</w:t>
      </w:r>
    </w:p>
    <w:p>
      <w:r>
        <w:rPr>
          <w:rFonts w:ascii="Calibri" w:hAnsi="Calibri"/>
          <w:b/>
          <w:color w:val="6E8450"/>
          <w:sz w:val="18"/>
        </w:rPr>
        <w:t>https://www.bxsl.com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BXSL has grown its loan portfolio from ~$5B at IPO to $13.4B, and Blackstone expanded its private credit platform to become the world's largest, adding co-CEO Jonathan Bock in 2026 to scale the BDC business [1][3]. However, portfolio growth through capital deployment is operational execution, not product innovation — the underlying business model of originating first-lien loans to PE-backed companies has not changed since inception. AI Deployment (0/2): No AI-powered products or quantified AI-driven cost savings have been disclosed by BXSL. While parent Blackstone is investing in AI-related companies and Jon Gray has flagged AI disruption risk as 'top of the page' for investment analysis, BXSL itself has not deployed AI in its lending operations in any reported capacity [3]. Market Share (1/2): BXSL is one of the largest publicly traded BDCs with $13.4B in total investments, benefiting from Blackstone's ~$300B+ credit platform — the largest private credit operation globally [1]. This scale provides deal flow advantages and pricing power versus smaller competitors. Product Pipeline (0/2): BDCs do not have traditional product pipelines. BXSL's growth depends on middle-market deal flow and repayment rates ($754M in repayments in Q2 2026) rather than new product development [1]. R&amp;D Intensity (0/1): Not applicable — BDCs do not conduct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BXSL's stated purpose is to generate strong risk-adjusted returns for shareholders through senior secured lending — functional but interchangeable with any BDC or lending platform. Blackstone's broader corporate language centers on 'investing in companies and creating value for investors,' which does not articulate a purpose beyond financial performance [3]. Community Impact (0/2): No evidence of BXSL-specific charitable programs, community investment, or foundation activity. Blackstone's parent organization has philanthropic initiatives, but BXSL as an externally managed fund vehicle does not operate independent community programs. Employee Retention (1/2): BXSL has no direct employees (externally managed), but the Blackstone credit team shows notable stability — Brad Marshall has led direct lending for nearly 17 years and the senior investment team has deep tenure [3]. Glassdoor reviews of Blackstone describe 'smart and driven colleagues' but flag work-life balance concerns and 'old finance ideals.' Insider Buying (0/2): No evidence of meaningful net insider buying by BXSL executives or Blackstone credit team leadership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BXSL's strongest attributes are its deeply discounted forward P/E of 9.41x (well below the 20x target, reflecting BDC valuation conventions) and profit margin of 21.6% above the 20% target [4]. The 5-year dividend growth CAGR of 9.02% exceeds the 6% target, earning full marks on that 2x-weighted metric [5]. However, significant drags include ROE of just 4.80% (target 15%), reflecting NAV markdowns and unrealized losses that depressed GAAP returns [1][4]. Revenue declined 7.0% YoY as lower base rates compressed portfolio yields despite growth in average invested assets [1]. The GAAP payout ratio of 161.3% far exceeds the 100% floor (scoring 0), driven by unrealized losses in GAAP earnings — actual NII roughly covers the $0.77 quarterly distribution [1][5]. D/E of 127% is above the 70% target but standard for BDC leverage structures. Consecutive years of dividend growth is 0 as BXSL has maintained rather than increased its base distribution. Liquidity floor easily cleared at ~$44M daily notional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BXSL is fundamentally a financial vehicle designed to generate risk-adjusted returns — it exists to deploy capital and distribute income, not to advance a cause. The externally managed structure means BXSL has no independent organizational identity, culture, or strategic agency beyond Blackstone's credit platform decisions. While Blackstone itself has impressive institutional longevity and Brad Marshall's 17-year tenure demonstrates leadership stability, the BDC vehicle lacks the purpose-driven foundation that characterizes infinite game players. The fund's response to declining yields has been to maintain distributions despite GAAP losses, a finite-game choice prioritizing current shareholder expectations over long-term capital preservation.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BXSL's purpose is to generate strong risk-adjusted returns for shareholders through senior secured lending to private equity-backed companies. This is a financial objective, not a Just Cause — it does not describe a future state worth sacrificing for, does not invite others to contribute to something bigger, and is fully achievable (thus not 'infinite' in Sinek's framework) [3]. Blackstone's broader language about 'deploying capital to create value' is similarly transactional. No evidence that strategic decisions at BXSL are guided by purpose beyond financial performance.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 an externally managed BDC, BXSL does not have its own employees — it relies on Blackstone's credit team. Brad Marshall has led direct lending for nearly 17 years, and the addition of Jonathan Bock as co-CEO in 2026 suggests deliberate succession planning [3]. However, Glassdoor reviews of Blackstone describe mixed cultural signals — 'great culture' and 'smart colleagues' alongside 'no work/life balance' and 'old finance ideals' — suggesting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BXSL or Blackstone's credit team framing competitors (Ares Capital, Blue Owl, etc.) as worthy rivals whose strengths drive self-improvement. Competitive language in filings and presentations focuses on market share, deal flow advantages, and platform scale — a finite competitive framing oriented toward dominance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BXSL was created in 2018, IPO'd in 2021, and has operated the same first-lien senior secured lending strategy throughout its existence with 96.8% in first-lien debt [1]. The fund has never faced an existential strategic decision requiring a pivot. Blackstone's broader platform has evolved over decades (real estate to credit to insurance to infrastructure), but BXSL as a vehicle is too young and too narrowly constructed to demonstrate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Blackstone's proactive stance on AI disruption risk — with Jon Gray mandating that AI impact be addressed on the first page of every investment memo — shows forward-thinking risk management that prioritizes long-term portfolio quality over short-term deal volume [3]. BXSL's 96.8% first-lien concentration reflects a disciplined, conservative strategy that sacrifices yield for downside protection. However, maintaining the $0.77 quarterly distribution despite GAAP losses and declining NAV ($25.53, down 2.8% in Q2 2026) raises questions about whether leadership is prioritizing shareholder expectations over prudent capital management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BXSL offers a 13% dividend yield backed by Blackstone's $300B+ credit platform — the largest private credit operation globally — with 96.8% first-lien exposure providing structural downside protection in a BDC universe where many competitors hold riskier junior debt [1]. The fund trades at a ~4% discount to NAV ($24.67 vs. $25.53 book value), and the forward P/E of 9.41x reflects reasonable valuation for the income stream [4]. Blackstone's institutional scale provides deal flow advantages, pricing power, and risk management infrastructure that smaller BDCs cannot match. Q2 2026 adjusted EPS of $0.75 beat the $0.66 consensus by 14.1%, demonstrating NII resilience even as base rates decline [1].</w:t>
      </w:r>
    </w:p>
    <w:p>
      <w:pPr>
        <w:spacing w:after="120"/>
      </w:pPr>
      <w:r>
        <w:rPr>
          <w:rFonts w:ascii="Calibri" w:hAnsi="Calibri"/>
          <w:b w:val="0"/>
          <w:color w:val="3A4A28"/>
          <w:sz w:val="20"/>
        </w:rPr>
        <w:t>The bear case centers on declining investment income, unsustainable GAAP payout ratios, and structural vulnerability to rate normalization. Total investment income fell 7.1% YoY to $320.5M in Q2 2026 as lower base rates compressed portfolio yields, and further rate cuts would continue eroding NII — the GAAP payout ratio of 161.3% signals distributions already exceed reported earnings [1][5]. NAV declined 2.8% in Q2 2026 to $25.53, driven by unrealized losses and portfolio markdowns that suggest credit quality pressures in the middle-market borrower base [1]. BXSL's Innovation (2/10) and Inspiration (2/10) scores reflect the fundamental limitation of a BDC as an investment vehicle — no proprietary technology, no R&amp;D, no mission beyond financial returns, and no organizational identity independent of its external manager. The fund's 0 consecutive years of dividend growth and reliance on Blackstone's platform decisions mean shareholders are buying an income stream with no growth narrative, in a sector where rising competition from private credit funds is compressing spreads. The Inspire Impact Score of 52 (ALIGNED) is notable for faith-based investors, but the overall IOWN score of 39 places BXSL below the investment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Portfolio yield stabilization if the Fed pauses rate cuts, preserving NII coverage of the $0.77 quarterly distribution and potentially narrowing the GAAP-to-NII earnings gap as unrealized losses reverse [1]</w:t>
      </w:r>
    </w:p>
    <w:p>
      <w:pPr>
        <w:spacing w:before="40" w:after="40"/>
        <w:ind w:left="283"/>
      </w:pPr>
      <w:r>
        <w:rPr>
          <w:rFonts w:ascii="Calibri" w:hAnsi="Calibri"/>
          <w:b/>
          <w:color w:val="4A6B25"/>
          <w:sz w:val="20"/>
        </w:rPr>
        <w:t xml:space="preserve">2. </w:t>
      </w:r>
      <w:r>
        <w:rPr>
          <w:rFonts w:ascii="Calibri" w:hAnsi="Calibri"/>
          <w:b w:val="0"/>
          <w:color w:val="3A4A28"/>
          <w:sz w:val="20"/>
        </w:rPr>
        <w:t>Blackstone's platform scale advantage could accelerate market share gains as smaller BDCs face funding pressure from tighter capital markets, driving higher-quality deal flow into BXSL's $13.4B portfolio [3]</w:t>
      </w:r>
    </w:p>
    <w:p>
      <w:pPr>
        <w:spacing w:before="40" w:after="40"/>
        <w:ind w:left="283"/>
      </w:pPr>
      <w:r>
        <w:rPr>
          <w:rFonts w:ascii="Calibri" w:hAnsi="Calibri"/>
          <w:b/>
          <w:color w:val="4A6B25"/>
          <w:sz w:val="20"/>
        </w:rPr>
        <w:t xml:space="preserve">3. </w:t>
      </w:r>
      <w:r>
        <w:rPr>
          <w:rFonts w:ascii="Calibri" w:hAnsi="Calibri"/>
          <w:b w:val="0"/>
          <w:color w:val="3A4A28"/>
          <w:sz w:val="20"/>
        </w:rPr>
        <w:t>Discount-to-NAV narrowing from ~4% could provide price appreciation alongside the 13% yield if credit markets stabilize and portfolio markdowns reverse in H2 2026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base rate declines further compress portfolio yields and NII — the 161.3% GAAP payout ratio is unsustainable without a distribution cut or earnings recovery, and 0 consecutive years of dividend growth leaves no track record of income expansion [1][5]</w:t>
      </w:r>
    </w:p>
    <w:p>
      <w:pPr>
        <w:spacing w:before="40" w:after="40"/>
        <w:ind w:left="283"/>
      </w:pPr>
      <w:r>
        <w:rPr>
          <w:rFonts w:ascii="Calibri" w:hAnsi="Calibri"/>
          <w:b/>
          <w:color w:val="4A6B25"/>
          <w:sz w:val="20"/>
        </w:rPr>
        <w:t xml:space="preserve">2. </w:t>
      </w:r>
      <w:r>
        <w:rPr>
          <w:rFonts w:ascii="Calibri" w:hAnsi="Calibri"/>
          <w:b w:val="0"/>
          <w:color w:val="3A4A28"/>
          <w:sz w:val="20"/>
        </w:rPr>
        <w:t>AI disruption of middle-market borrowers — Blackstone's Jon Gray has warned that AI could render entire industries obsolete, and BXSL's portfolio companies face direct exposure to business model disruption that would manifest as credit losses and further NAV erosion [3]</w:t>
      </w:r>
    </w:p>
    <w:p>
      <w:pPr>
        <w:spacing w:before="40" w:after="40"/>
        <w:ind w:left="283"/>
      </w:pPr>
      <w:r>
        <w:rPr>
          <w:rFonts w:ascii="Calibri" w:hAnsi="Calibri"/>
          <w:b/>
          <w:color w:val="4A6B25"/>
          <w:sz w:val="20"/>
        </w:rPr>
        <w:t xml:space="preserve">3. </w:t>
      </w:r>
      <w:r>
        <w:rPr>
          <w:rFonts w:ascii="Calibri" w:hAnsi="Calibri"/>
          <w:b w:val="0"/>
          <w:color w:val="3A4A28"/>
          <w:sz w:val="20"/>
        </w:rPr>
        <w:t>NAV erosion from portfolio markdowns and restructurings — the 2.8% NAV decline in Q2 2026 to $25.53 may accelerate if economic conditions deteriorate, creating a negative feedback loop of write-downs, potential distribution cuts, and share price declines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BXSL's core business — originating and holding senior secured loans to PE-backed middle-market companies — is structurally protected from direct AI substitution. Private credit requires massive capital deployment ($13.4B portfolio), deep relationship networks with private equity sponsors, and complex legal/regulatory infrastructure that AI cannot replicate [1]. However, AI-powered lending platforms and automated credit analysis could compress margins on simpler deals over time. Blackstone President Jon Gray has explicitly warned that AI disruption risk is 'top of the page' for the firm, telling credit and equity teams to 'address AI on the first pages of your investment memos' — this concern is primarily about AI disrupting BXSL's borrowers rather than the lending business itself [3]. The risk that AI disrupts portfolio companies' businesses is real — if borrowers face AI-driven margin compression, credit quality deteriorates and BXSL absorbs losses, as evidenced by the Q2 2026 NAV decline of 2.8% from portfolio markdowns [1]. AI Opportunity (0/1): BXSL does not generate revenue from AI products or services. While Blackstone is investing in AI-related companies through other vehicles, BXSL's portfolio is focused on traditional middle-market companies, not AI infrastructure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Blackstone Secured Lending Fund Q2 2026 10-Q — Total Investment Income $320.5M (-7.1% YoY), Adjusted EPS $0.75 (beat $0.66 by 14.1%), NAV $25.53 (-2.8% QoQ), 96.8% First-Lien, $754M Repayments, July 2026</w:t>
      </w:r>
    </w:p>
    <w:p>
      <w:pPr>
        <w:spacing w:before="20" w:after="20"/>
        <w:ind w:left="170"/>
      </w:pPr>
      <w:r>
        <w:rPr>
          <w:rFonts w:ascii="Calibri" w:hAnsi="Calibri"/>
          <w:b/>
          <w:color w:val="4A6B25"/>
          <w:sz w:val="15"/>
        </w:rPr>
        <w:t xml:space="preserve">2. </w:t>
      </w:r>
      <w:r>
        <w:rPr>
          <w:rFonts w:ascii="Calibri" w:hAnsi="Calibri"/>
          <w:b w:val="0"/>
          <w:color w:val="3A4A28"/>
          <w:sz w:val="17"/>
        </w:rPr>
        <w:t>Blackstone Secured Lending Fund Q1 2026 Earnings — Revenue $325M (missed $353.4M consensus), Adjusted EPS $0.77 (beat $0.74 by 4.1%), April 2026</w:t>
      </w:r>
    </w:p>
    <w:p>
      <w:pPr>
        <w:spacing w:before="20" w:after="20"/>
        <w:ind w:left="170"/>
      </w:pPr>
      <w:r>
        <w:rPr>
          <w:rFonts w:ascii="Calibri" w:hAnsi="Calibri"/>
          <w:b/>
          <w:color w:val="4A6B25"/>
          <w:sz w:val="15"/>
        </w:rPr>
        <w:t xml:space="preserve">3. </w:t>
      </w:r>
      <w:r>
        <w:rPr>
          <w:rFonts w:ascii="Calibri" w:hAnsi="Calibri"/>
          <w:b w:val="0"/>
          <w:color w:val="3A4A28"/>
          <w:sz w:val="17"/>
        </w:rPr>
        <w:t>Blackstone Leadership &amp; AI Strategy — Jon Gray: AI Disruption Risk 'Top of the Page,' Brad Marshall 17-Year Tenure, Jonathan Bock Co-CEO Addition — Reuters, Bloomberg, BusinessWire, January-March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BXSL Key Statistics: Forward P/E 9.41, Trailing P/E 19.52, ROE 4.80%, D/E 127%, Profit Margin 21.6%, Stock Price $24.67,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DividendRanks — BXSL Dividend: Yield 13.05%, Annual $3.08, Payout Ratio 161.3%, 5 Consecutive Years Paid, 0 Years Growth, 5yr CAGR 9.02%,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