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w:t>
      </w:r>
      <w:r>
        <w:rPr>
          <w:rFonts w:ascii="Calibri" w:hAnsi="Calibri"/>
          <w:b/>
          <w:color w:val="1A2010"/>
          <w:sz w:val="40"/>
        </w:rPr>
        <w:t xml:space="preserve">  Barrick Mining Corporation</w:t>
      </w:r>
    </w:p>
    <w:p>
      <w:pPr>
        <w:spacing w:after="120"/>
      </w:pPr>
      <w:r>
        <w:rPr>
          <w:rFonts w:ascii="Calibri" w:hAnsi="Calibri"/>
          <w:b/>
          <w:color w:val="6E8450"/>
          <w:sz w:val="18"/>
        </w:rPr>
        <w:t>GROWTH SLEEVE · 2026-10-05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NYQ · Canada</w:t>
      </w:r>
    </w:p>
    <w:p>
      <w:pPr>
        <w:spacing w:after="80"/>
      </w:pPr>
      <w:r>
        <w:rPr>
          <w:rFonts w:ascii="Calibri" w:hAnsi="Calibri"/>
          <w:b w:val="0"/>
          <w:color w:val="3A4A28"/>
          <w:sz w:val="20"/>
        </w:rPr>
        <w:t>Barrick Mining Corporation (renamed from Barrick Gold in May 2025) is one of the world's largest gold and copper mining companies, operating mines across Africa, the Americas, and the Middle East. Q1 2026 revenue reached $5.22B (+67% YoY) with net earnings up 256% and gold production of 719,000 oz beating guidance. TTM revenue is $20.65B. Mark Hill became President and CEO in February 2026 following Mark Bristow's departure in September 2025. The company announced a $3B+ stock buyback and a $4B agreement with Newmont resolving Nevada JV disputes and clearing the North American IPO path. Founded in 1983, headquartered in Toronto, Canada.</w:t>
      </w:r>
    </w:p>
    <w:p>
      <w:r>
        <w:rPr>
          <w:rFonts w:ascii="Calibri" w:hAnsi="Calibri"/>
          <w:b/>
          <w:color w:val="6E8450"/>
          <w:sz w:val="18"/>
        </w:rPr>
        <w:t>27,135 Employees · https://www.barrick.com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$4B Newmont agreement resolving long-running Nevada joint-venture disputes and clearing the path for a North American IPO, combined with ahead-of-schedule Loulo-Gounkoto ramp-up and Pueblo Viejo recovery, represent meaningful strategic and operational wins that opened new revenue and value-creation pathways [1][2]. The rename to 'Barrick Mining' (May 2025) signals strategic broadening into copper. AI Deployment (1/2): The company employs a Chief Innovation Officer (Michelle Ash) and states it is integrating 'autonomous technologies, AI-powered geological modeling, and blockchain traceability' across operations, but no specific quantified cost savings or production gains from AI were cited [3]. Market Share (2/2): Barrick is one of the world's two dominant gold miners alongside Newmont, producing 719,000 oz in Q1 2026 alone, with growing copper exposure adding a second commodity leadership position [1]. Product Pipeline (1/2): Mine expansion and ramp-up projects (Loulo-Gounkoto, Pueblo Viejo, Reko Diq) provide forward production visibility with specific timelines, though mining lacks named next-generation 'product' launches. R&amp;D Intensity (0/1): No R&amp;D-to-revenue data relative to mining industry peers was found despite the Chief Innovation Officer role.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Barrick's stated mission — to be 'the world's most valued gold and copper mining business, leading in safety, sustainability and long-term shareholder value' — pairs an aspirational sustainability line with generic shareholder-value language typical of the mining sector [3]. The addition of 'leave the world better than we found it' adds substance but doesn't fully transcend industry norms. Community Impact (2/2): Barrick invested more than $62M in community-led development initiatives in host countries, with 96% of employees and 76% of suppliers sourced locally — specific, substantial figures that go beyond boilerplate CSR and reflect genuine commitment to mining communities [4]. Employee Retention (1/2): The 96% local-hire rate and focus on talent management (EVP of Talent Management Darian Rich elevated, with talent as the first topic at weekly Executive Committee meetings) are positive signals, but no explicit turnover or average-tenure data was found [3]. Insider Buying (0/2): No specific personal insider buying transactions by CEO Hill or senior executives were identified; the $3B+ corporate buyback is capital allocation, not personal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all seven metrics. Barrick's financial profile is exceptional across profitability and balance sheet measures: D/E of 12.7% is far below the 70% target (score 1.0), ROE of 27.0% exceeds the 15% target (score 1.0, 2x weight), profit margin of 31.6% surpasses the 20% target (score 1.0), and Forward P/E of 9.2 is well below the 20 target (score 1.0) [1]. Revenue growth of 43.8% YoY far exceeds the 10% target (score 1.0), driven by record gold prices and operational improvements, with 5-year revenue CAGR of approximately 11.5% also above target (score 1.0, 2x weight). The sole drag is the PEG ratio of 2.04, which scores 0.48 against the 1.0 target at 2x weight, reflecting elevated valuation relative to the commodity-dependent growth rate. Daily dollar volume of $385M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Barrick shows real evidence of playing a longer game — a $4B settlement resolving decades of Nevada joint-venture friction with Newmont, over $62M in host-community investment, and continued operation in difficult jurisdictions like Mali and Tanzania rather than exiting at the first sign of trouble. But the abrupt September 2025 departure of long-tenured CEO Mark Bristow and the relatively new leadership under Mark Hill (CEO since February 2026) introduce institutional discontinuity, and the company's mission language leans as heavily on 'shareholder value' as it does on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$62M+ in community development investment and 96% local-hiring commitment give substance to Barrick's stated aim to 'leave the world better than we found it,' and the strategic pivot to 'Barrick Mining' broadening beyond gold reflects long-term vision [3][4]. However, the mission statement itself blends this with conventional 'most valued... shareholder value' framing, and the sudden CEO exit raises questions about whether the cause is institutionally resilient beyond any single leader.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Mark Bristow's abrupt September 2025 departure after leading the company since the 2019 Randgold merger, followed by Mark Hill's appointment as CEO in February 2026, signals leadership instability at the top of the organization [2][3]. The new focus on talent management (EVP of Talent Management, talent as first Executive Committee topic) is positive but too early to demonstrate results. At the operational level, 96% local-hiring practices suggest reasonable trust, but no specific turnover or cultural data supports a higher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The $4B agreement with Newmont explicitly aims at 'resolving historical disputes and aligning joint venture interests' rather than continued adversarial conflict over shared Nevada operations, reflecting a cooperative, improvement-oriented resolution with Barrick's largest industry rival [1]. This demonstrates an infinite competitive mindset — choosing collaboration over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2019 Randgold merger, the 2025 name change to 'Barrick Mining' broadening the identity beyond gold, and the growing copper exposure through Reko Diq and Lumwana all show willingness to evolve the business mix, though this is portfolio and commodity diversification within the existing mining model rather than a fundamental business-model reinvention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Continuing to invest in and operate Tanzanian and Malian assets through years of hostile government relations, environmental disputes, and human rights scrutiny at North Mara — rather than exiting — reflects costly long-term commitment to difficult jurisdictions [4]. The $3B+ buyback program during strong earnings demonstrates capital discipline. However, no specific example of sacrificing near-term earnings for a principled long-term stance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Barrick Mining at $40.23 with a $66B market cap is riding a record gold price environment into genuinely strong fundamentals — Q1 2026 revenue of $5.22B (+67% YoY), net earnings up 256%, gold production of 719,000 oz beating guidance, and operating cash flow of $2.55B (+111% YoY) [1]. The $4B Newmont agreement resolves a multi-year Nevada JV dispute and clears consent for a North American IPO, removing a significant overhang. Infrastructure metrics are outstanding: D/E of 12.7%, ROE of 27.0%, profit margin of 31.6%, and Forward P/E of 9.2 combine for a near-maximum score, while the $3B+ buyback and 26-year dividend history demonstrate capital discipline. The company's copper exposure through Reko Diq positions it for AI-driven data center demand, adding a structural growth story atop the gold price tailwind [1][3].</w:t>
      </w:r>
    </w:p>
    <w:p>
      <w:pPr>
        <w:spacing w:after="120"/>
      </w:pPr>
      <w:r>
        <w:rPr>
          <w:rFonts w:ascii="Calibri" w:hAnsi="Calibri"/>
          <w:b w:val="0"/>
          <w:color w:val="3A4A28"/>
          <w:sz w:val="20"/>
        </w:rPr>
        <w:t>The bear case centers on commodity-price dependence and leadership continuity. Barrick's extraordinary growth (+67% revenue, +256% earnings in Q1 2026) is substantially a function of the gold price cycle rather than company-specific execution, and a gold price reversal would compress these metrics quickly given inherent mining operating leverage [1]. The PEG of 2.04 reflects this concern — the market doubts the growth rate is sustainable. CEO Mark Hill has been in role only since February 2026 following Bristow's abrupt September 2025 departure, an unusual succession event for a company managing complex, politically sensitive assets in Mali and Tanzania [2]. Historical ESG friction remains live — North Mara has faced documented allegations of police-related deaths and environmental violations, the Veladero mine in Argentina faced cyanide spill claims, and Mali production was disrupted by a 32% output decline in 2025 amid government disputes before recovering [4]. Jurisdictional risk in Barrick's highest-grade assets is structural, not incidental.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and integration of the $4B Newmont Nevada JV settlement, including progress toward the North American IPO which could unlock a valuation re-rating and institutional rebalancing [1]</w:t>
      </w:r>
    </w:p>
    <w:p>
      <w:pPr>
        <w:spacing w:before="40" w:after="40"/>
        <w:ind w:left="283"/>
      </w:pPr>
      <w:r>
        <w:rPr>
          <w:rFonts w:ascii="Calibri" w:hAnsi="Calibri"/>
          <w:b/>
          <w:color w:val="4A6B25"/>
          <w:sz w:val="20"/>
        </w:rPr>
        <w:t xml:space="preserve">2. </w:t>
      </w:r>
      <w:r>
        <w:rPr>
          <w:rFonts w:ascii="Calibri" w:hAnsi="Calibri"/>
          <w:b w:val="0"/>
          <w:color w:val="3A4A28"/>
          <w:sz w:val="20"/>
        </w:rPr>
        <w:t>Continued gold price strength sustaining record revenue and cash flow, with Q1 2026 operating cash flow of $2.55B (+111% YoY) funding buybacks, dividends, and Reko Diq copper development simultaneously [1]</w:t>
      </w:r>
    </w:p>
    <w:p>
      <w:pPr>
        <w:spacing w:before="40" w:after="40"/>
        <w:ind w:left="283"/>
      </w:pPr>
      <w:r>
        <w:rPr>
          <w:rFonts w:ascii="Calibri" w:hAnsi="Calibri"/>
          <w:b/>
          <w:color w:val="4A6B25"/>
          <w:sz w:val="20"/>
        </w:rPr>
        <w:t xml:space="preserve">3. </w:t>
      </w:r>
      <w:r>
        <w:rPr>
          <w:rFonts w:ascii="Calibri" w:hAnsi="Calibri"/>
          <w:b w:val="0"/>
          <w:color w:val="3A4A28"/>
          <w:sz w:val="20"/>
        </w:rPr>
        <w:t>Reko Diq copper-gold mine ramp-up in Pakistan providing commodity diversification and AI-driven data center copper demand exposure, positioning Barrick beyond pure gold dependence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and copper price reversal — the bulk of Q1 2026's 67% revenue growth and 256% earnings growth reflects favorable commodity prices rather than structural company-specific improvement, and the PEG of 2.04 signals market skepticism about growth durability</w:t>
      </w:r>
    </w:p>
    <w:p>
      <w:pPr>
        <w:spacing w:before="40" w:after="40"/>
        <w:ind w:left="283"/>
      </w:pPr>
      <w:r>
        <w:rPr>
          <w:rFonts w:ascii="Calibri" w:hAnsi="Calibri"/>
          <w:b/>
          <w:color w:val="4A6B25"/>
          <w:sz w:val="20"/>
        </w:rPr>
        <w:t xml:space="preserve">2. </w:t>
      </w:r>
      <w:r>
        <w:rPr>
          <w:rFonts w:ascii="Calibri" w:hAnsi="Calibri"/>
          <w:b w:val="0"/>
          <w:color w:val="3A4A28"/>
          <w:sz w:val="20"/>
        </w:rPr>
        <w:t>Leadership continuity risk — CEO Mark Hill has been in role only since February 2026 after Mark Bristow's unexpected September 2025 departure, creating governance uncertainty for a company operating in politically complex jurisdictions [2]</w:t>
      </w:r>
    </w:p>
    <w:p>
      <w:pPr>
        <w:spacing w:before="40" w:after="40"/>
        <w:ind w:left="283"/>
      </w:pPr>
      <w:r>
        <w:rPr>
          <w:rFonts w:ascii="Calibri" w:hAnsi="Calibri"/>
          <w:b/>
          <w:color w:val="4A6B25"/>
          <w:sz w:val="20"/>
        </w:rPr>
        <w:t xml:space="preserve">3. </w:t>
      </w:r>
      <w:r>
        <w:rPr>
          <w:rFonts w:ascii="Calibri" w:hAnsi="Calibri"/>
          <w:b w:val="0"/>
          <w:color w:val="3A4A28"/>
          <w:sz w:val="20"/>
        </w:rPr>
        <w:t>Jurisdictional and ESG risk — documented allegations at North Mara (police-related deaths), Veladero (cyanide spill claims), and Mali (production disputes, 32% output decline in 2025) represent structural operating risks in Barrick's highest-grade assets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and copper extraction is a physical-world commodity business — AI software has no substitution path for mining, ore processing, smelting, or the physical delivery of metal, making Barrick structurally immune to AI-driven disruption of its core revenue [1][3]. The company's operations span open-pit and underground mines in remote locations across Africa, Latin America, and the Middle East — AI increases demand for copper (used in data centers) while having zero ability to replace physical mining. AI Opportunity (0/1): Barrick uses AI-powered geological modeling, autonomous haul trucks, and blockchain traceability as internal operational efficiency tools through its Chief Innovation Officer's team, but these are cost-optimization applications rather than a quantifiable AI-linked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Barrick Q1 2026 Results — Revenue $5.22B (+67% YoY), Net Earnings Up 256%, Gold Production 719,000 oz, OCF $2.55B (+111%), $3B+ Buyback, $4B Newmont Settlement — Barrick.com, Investing.com, StockTitan, May 2026</w:t>
      </w:r>
    </w:p>
    <w:p>
      <w:pPr>
        <w:spacing w:before="20" w:after="20"/>
        <w:ind w:left="170"/>
      </w:pPr>
      <w:r>
        <w:rPr>
          <w:rFonts w:ascii="Calibri" w:hAnsi="Calibri"/>
          <w:b/>
          <w:color w:val="4A6B25"/>
          <w:sz w:val="15"/>
        </w:rPr>
        <w:t xml:space="preserve">2. </w:t>
      </w:r>
      <w:r>
        <w:rPr>
          <w:rFonts w:ascii="Calibri" w:hAnsi="Calibri"/>
          <w:b w:val="0"/>
          <w:color w:val="3A4A28"/>
          <w:sz w:val="17"/>
        </w:rPr>
        <w:t>Barrick Leadership Transition — Mark Bristow Departure (Sept 2025), Mark Hill Named CEO (Feb 2026), North American IPO Consent — TipRanks, Mining.com, 2025-2026</w:t>
      </w:r>
    </w:p>
    <w:p>
      <w:pPr>
        <w:spacing w:before="20" w:after="20"/>
        <w:ind w:left="170"/>
      </w:pPr>
      <w:r>
        <w:rPr>
          <w:rFonts w:ascii="Calibri" w:hAnsi="Calibri"/>
          <w:b/>
          <w:color w:val="4A6B25"/>
          <w:sz w:val="15"/>
        </w:rPr>
        <w:t xml:space="preserve">3. </w:t>
      </w:r>
      <w:r>
        <w:rPr>
          <w:rFonts w:ascii="Calibri" w:hAnsi="Calibri"/>
          <w:b w:val="0"/>
          <w:color w:val="3A4A28"/>
          <w:sz w:val="17"/>
        </w:rPr>
        <w:t>Barrick Innovation and AI Strategy — Chief Innovation Officer Michelle Ash, AI-Powered Geological Modeling, Autonomous Technologies, Talent Management Focus — AI Magazine, Craft.co, Comparably, 2025-2026</w:t>
      </w:r>
    </w:p>
    <w:p>
      <w:pPr>
        <w:spacing w:before="20" w:after="20"/>
        <w:ind w:left="170"/>
      </w:pPr>
      <w:r>
        <w:rPr>
          <w:rFonts w:ascii="Calibri" w:hAnsi="Calibri"/>
          <w:b/>
          <w:color w:val="4A6B25"/>
          <w:sz w:val="15"/>
        </w:rPr>
        <w:t xml:space="preserve">4. </w:t>
      </w:r>
      <w:r>
        <w:rPr>
          <w:rFonts w:ascii="Calibri" w:hAnsi="Calibri"/>
          <w:b w:val="0"/>
          <w:color w:val="3A4A28"/>
          <w:sz w:val="17"/>
        </w:rPr>
        <w:t>Barrick ESG and Community Controversies — $62M+ Community Investment, 96% Local Hiring, North Mara Allegations, Veladero Cyanide Claims, Mali Disputes, Sustainalytics High Controversy Level — GuruFocus, Mining Magazine, Barrick.com,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