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CAH</w:t>
      </w:r>
      <w:r>
        <w:rPr>
          <w:rFonts w:ascii="Calibri" w:hAnsi="Calibri"/>
          <w:b/>
          <w:color w:val="1A2010"/>
          <w:sz w:val="40"/>
        </w:rPr>
        <w:t xml:space="preserve">  Cardinal Health, Inc.</w:t>
      </w:r>
    </w:p>
    <w:p>
      <w:pPr>
        <w:spacing w:after="120"/>
      </w:pPr>
      <w:r>
        <w:rPr>
          <w:rFonts w:ascii="Calibri" w:hAnsi="Calibri"/>
          <w:b/>
          <w:color w:val="6E8450"/>
          <w:sz w:val="18"/>
        </w:rPr>
        <w:t>GROWTH SLEEVE · 2026-09-15 · Inspire: -83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Distribution · NYSE · United States</w:t>
      </w:r>
    </w:p>
    <w:p>
      <w:pPr>
        <w:spacing w:after="80"/>
      </w:pPr>
      <w:r>
        <w:rPr>
          <w:rFonts w:ascii="Calibri" w:hAnsi="Calibri"/>
          <w:b w:val="0"/>
          <w:color w:val="3A4A28"/>
          <w:sz w:val="20"/>
        </w:rPr>
        <w:t>Cardinal Health is one of the 'Big Three' U.S. pharmaceutical and medical product distributors, serving over 90% of U.S. hospitals and approximately 40,000 pharmacies. The company operates through three segments: Pharmaceutical (branded and specialty drug distribution), Global Medical Products Distribution (GMPD — medical, surgical and laboratory products), and Other (at-Home Solutions, Nuclear &amp; Precision Health Solutions, OptiFreight Logistics). FY2026 revenue reached $254.2B (+14% YoY) with non-GAAP EPS of $11.26 (+37%), driven by branded and specialty pharmaceutical demand and the MSO platform buildout.</w:t>
      </w:r>
    </w:p>
    <w:p>
      <w:r>
        <w:rPr>
          <w:rFonts w:ascii="Calibri" w:hAnsi="Calibri"/>
          <w:b/>
          <w:color w:val="6E8450"/>
          <w:sz w:val="18"/>
        </w:rPr>
        <w:t>48,000 Employees · https://www.cardinalhealth.com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Jason Hollar executed a significant GMPD turnaround, with segment profit surging 91% in FY2026 through portfolio simplification, supply chain optimization, and strategic sourcing [1]. The MSO platform acquisitions expanded specialty pharmacy capabilities into a high-growth segment, and FY2026 total revenue grew 14% to $254.2B with non-GAAP operating earnings up 30% to $3.6B [1]. AI Deployment (1/2): Cardinal Health established an AI Center of Excellence and partnered with Palantir to develop clinically integrated supply chain solutions leveraging AI and advanced analytics [2]. The company adopted Google Cloud Vertex AI to modernize applications, but no specific AI-powered products shipping to customers or quantified cost savings have been reported [2]. Market Share (1/2): One of three dominant pharmaceutical distributors in a structural oligopoly controlling ~90% of U.S. distribution volume, with embedded customer relationships across 40,000+ pharmacies [1]. Market share is stable but Cardinal Health is not the category leader — McKesson holds the largest share. Pipeline (0/2): No specific next-generation products or services with launch dates and revenue visibility announced; growth driven by MSO acquisitions and existing segment expansion. R&amp;D Intensity (0/1): As a distribution business, R&amp;D spending is minimal relative to the $254B revenue base, well below healthcare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Cardinal Health's stated purpose is 'Essential to Care,' articulating the company's role in enabling healthcare delivery through distribution infrastructure [2]. The mission is clear but not distinctive — any healthcare distributor could claim the same positioning, and it lacks the deeper intentionality of a transformative purpose. Community Impact (1/2): The Equity Rx program provides medications to free and charitable clinics, the Cardinal Health Foundation donated nearly $22M in cash and product in FY2024, and the company achieved SBTi-approved near-term climate targets with 17% reduction in Scopes 1 and 2 emissions since FY2019 [3]. Employee Retention (0/2): Glassdoor rating of 3.6/5 with culture scores declining 3% over the past 12 months [2]. Employee reviews describe mixed sentiments — some praise work-life balance while others cite 'leadership focused on profits not patients' and management 'too set in their ways to be competitive or innovative' [2]. No specific retention or tenure data identified. Insider Buying (0/2): No evidence of meaningful net insider buying by CEO Jason Hollar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Growth stock weighting. D/E and ROE excluded from calculation due to negative shareholders' equity (driven by cumulative share buybacks and opioid settlement liabilities) — both score 0.0 when included but are treated as unavailable to avoid distortion [4]. Revenue growth YoY of 14% exceeds the 10% target (score 1.0), driven by branded and specialty pharmaceutical demand [1]. Estimated 5-year revenue CAGR of approximately 8% scores 0.87 against the 10% target. Forward P/E of 16.7 well below the 20 target (score 1.0) [4]. Profit margin of 0.67% scores near zero (0.034) — inherent to pharmaceutical distribution where revenue is drug pass-through pricing with thin per-unit margins [1]. Estimated forward PEG of approximately 1.5 scores 0.75 against the 1.0 target. Weighted sum 5.3/7 available weight units = 7.5, rounds to 8. However, adjusting for the severe negative equity reality that the mechanical exclusion masks, infrastructure is scored at 7. The stock clears the liquidity floor with approximately $483M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Cardinal Health demonstrates limited infinite game characteristics. The company's purpose centers on distribution efficiency rather than a transformative vision, and strategic decisions are primarily driven by financial optimization — share buybacks that created negative equity, the $6.6B opioid settlement resolving accountability for past distribution practices, and leadership instability (three CEOs in seven years before Hollar's 2022 appointment). The GMPD turnaround shows operational discipline but reflects fixing past neglect rather than visionary leadership. Competitive language focuses on market position and cost efficiency rather than purpose-driven 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Cardinal Health's 'Essential to Care' positioning connects the company's work to healthcare delivery, but it reads as a marketing tagline rather than a deeply held Just Cause driving strategic decisions [2]. The purpose is interchangeable with any healthcare supply chain company and doesn't reflect a vision of a better future. Leadership doesn't reference the mission in strategic context — earnings calls focus on segment profitability, capital allocation, and buyback authorization. The $6.6B opioid settlement fundamentally undermines any claim that the company consistently lived out a health-improvement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3.6/5 with culture scores declining 3% suggests an adequate but unremarkable trust environment [2]. Employee reviews cite mixed sentiments — praise for work-life balance offset by criticism of management quality and senior leadership being 'too set in their ways to be competitive or innovative' [2]. CEO Jason Hollar has provided stability since 2022 after a period of leadership turnover, but four years of tenure has not yet built the deep organizational trust characteristic of infinite-minded companies.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Cardinal Health's competitive positioning within the Big Three distribution oligopoly is characterized by finite language — market share defense, distribution volume, and cost efficiency. No evidence of management acknowledging McKesson's or Cencora's strengths as motivation for self-improvement; competitive strategy centers on scale advantages and customer retention through operational integration.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Cardinal Health has incrementally evolved from pure pharmaceutical distribution into adjacent businesses — at-Home Solutions, Nuclear &amp; Precision Health Solutions, specialty pharmacy MSO platforms, and OptiFreight Logistics [1]. The GMPD turnaround (91% profit growth) required meaningful operational restructuring. These demonstrate genuine business model evolution, but the changes are incremental extensions of the distribution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Hollar's turnaround required courage — restructuring GMPD, divesting non-core assets, and investing in specialty pharma growth when the segment was underperforming [1]. Navigating the $6.6B opioid settlement while maintaining business continuity demonstrated operational resilience. However, capital allocation heavily favors share buybacks over capability investment (driving negative equity), and the opioid crisis response was reactive settlement rather than proactive industry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Cardinal Health delivered strong FY2026 results with revenue of $254.2B (+14% YoY) and non-GAAP EPS of $11.26 (+37%), driven by branded and specialty pharmaceutical demand, MSO platform acquisitions, and the GMPD turnaround that produced 91% segment profit growth [1]. The Pharmaceutical segment generated $2.8B in profit (+23%), demonstrating the earnings power of scale in drug distribution. At 16.7x forward earnings, the stock trades at a reasonable valuation, and FY2027 guidance implies continued momentum. The nuclear pharmacy and at-Home Solutions businesses provide diversification, and the MSO buildout positions Cardinal Health in the high-growth specialty pharmacy market [1].</w:t>
      </w:r>
    </w:p>
    <w:p>
      <w:pPr>
        <w:spacing w:after="120"/>
      </w:pPr>
      <w:r>
        <w:rPr>
          <w:rFonts w:ascii="Calibri" w:hAnsi="Calibri"/>
          <w:b w:val="0"/>
          <w:color w:val="3A4A28"/>
          <w:sz w:val="20"/>
        </w:rPr>
        <w:t>The bear case centers on structural margin limitations and balance sheet fragility. Profit margin of 0.67% means even minor pricing pressure materially impacts earnings — a 10bps change on $254B revenue equals $254M [4]. Negative shareholders' equity from cumulative buybacks and the $6.6B opioid settlement creates no equity cushion during downturns, and debt refinancing occurs on less favorable terms [3]. The GMPD segment remains a 'work in progress' per management and is structurally lower-margin than pharmaceutical distribution [1]. Drug pricing reform (GLP-1 negotiations, PBM transparency legislation) could compress branded drug revenue driving the pharmaceutical segment. The Inspire Impact score of -83 (MISALIGNED) due to abortifacient distribution and activism stances may concern values-aligned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GMPD margin recovery with 91% FY2026 profit growth creating runway for further expansion as portfolio simplification, supply chain optimization, and strategic sourcing initiatives mature [1]</w:t>
      </w:r>
    </w:p>
    <w:p>
      <w:pPr>
        <w:spacing w:before="40" w:after="40"/>
        <w:ind w:left="283"/>
      </w:pPr>
      <w:r>
        <w:rPr>
          <w:rFonts w:ascii="Calibri" w:hAnsi="Calibri"/>
          <w:b/>
          <w:color w:val="4A6B25"/>
          <w:sz w:val="20"/>
        </w:rPr>
        <w:t xml:space="preserve">2. </w:t>
      </w:r>
      <w:r>
        <w:rPr>
          <w:rFonts w:ascii="Calibri" w:hAnsi="Calibri"/>
          <w:b w:val="0"/>
          <w:color w:val="3A4A28"/>
          <w:sz w:val="20"/>
        </w:rPr>
        <w:t>Specialty pharmacy MSO platform buildout and GLP-1 distribution volume growth positioning Cardinal Health in the fastest-growing pharmaceutical segments, with biosimilar adoption providing incremental upside [1]</w:t>
      </w:r>
    </w:p>
    <w:p>
      <w:pPr>
        <w:spacing w:before="40" w:after="40"/>
        <w:ind w:left="283"/>
      </w:pPr>
      <w:r>
        <w:rPr>
          <w:rFonts w:ascii="Calibri" w:hAnsi="Calibri"/>
          <w:b/>
          <w:color w:val="4A6B25"/>
          <w:sz w:val="20"/>
        </w:rPr>
        <w:t xml:space="preserve">3. </w:t>
      </w:r>
      <w:r>
        <w:rPr>
          <w:rFonts w:ascii="Calibri" w:hAnsi="Calibri"/>
          <w:b w:val="0"/>
          <w:color w:val="3A4A28"/>
          <w:sz w:val="20"/>
        </w:rPr>
        <w:t>Nuclear &amp; Precision Health Solutions growth as the radiopharmaceutical theranostics market expands, leveraging Cardinal Health's existing nuclear pharmacy infrastructure across the U.S.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Drug pricing reform and PBM transparency legislation could compress branded pharmaceutical distribution margins — GLP-1 price negotiations and potential spread pricing regulation directly impact the Pharmaceutical segment's revenue and profitability [1]</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driven by cumulative buybacks and $6.6B opioid settlement creates balance sheet fragility — any unexpected operational downturn or additional litigation exposure strains a company with no equity cushion [3][4]</w:t>
      </w:r>
    </w:p>
    <w:p>
      <w:pPr>
        <w:spacing w:before="40" w:after="40"/>
        <w:ind w:left="283"/>
      </w:pPr>
      <w:r>
        <w:rPr>
          <w:rFonts w:ascii="Calibri" w:hAnsi="Calibri"/>
          <w:b/>
          <w:color w:val="4A6B25"/>
          <w:sz w:val="20"/>
        </w:rPr>
        <w:t xml:space="preserve">3. </w:t>
      </w:r>
      <w:r>
        <w:rPr>
          <w:rFonts w:ascii="Calibri" w:hAnsi="Calibri"/>
          <w:b w:val="0"/>
          <w:color w:val="3A4A28"/>
          <w:sz w:val="20"/>
        </w:rPr>
        <w:t>Structurally thin 0.67% profit margin means even modest pricing pressure from large pharmacy chains or PBM consolidation could materially compress earnings — a 10bps margin change on $254B revenue equals $254M impact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Cardinal Health's core pharmaceutical distribution business involves physical warehousing, cold-chain logistics, DEA licensing for controlled substances, and deeply embedded customer integrations across 40,000+ pharmacies and 90% of U.S. hospitals [1]. AI structurally cannot replace the physical infrastructure required to move $254B of pharmaceuticals annually. The Nuclear &amp; Precision Health Solutions segment requires specialized facilities and licenses that AI cannot displace. The Big Three oligopoly structure creates additional protection through insurmountable scale barriers and regulatory moats. Some risk exists in advisory and analytics services where AI could commoditize supply chain consulting, and competitors like McKesson are investing heavily in AI-driven distribution optimization [2]. AI Opportunity (0/1): While Cardinal Health has established an AI Center of Excellence and partnered with Palantir for AI-powered supply chain solutions, no quantifiable AI-specific revenue has been reported [2]. AI initiatives remain internally focused on operational efficiency rather than customer-facing products generating measurable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Cardinal Health FY2026 Full-Year and Q4 Earnings Release — Revenue $254.2B (+14%), Non-GAAP EPS $11.26 (+37%), Non-GAAP Operating Earnings $3.6B (+30%), Pharmaceutical Segment Profit $2.8B (+23%), GMPD Profit +91%, Q4 Revenue $63.7B (+6%), August 2026</w:t>
      </w:r>
    </w:p>
    <w:p>
      <w:pPr>
        <w:spacing w:before="20" w:after="20"/>
        <w:ind w:left="170"/>
      </w:pPr>
      <w:r>
        <w:rPr>
          <w:rFonts w:ascii="Calibri" w:hAnsi="Calibri"/>
          <w:b/>
          <w:color w:val="4A6B25"/>
          <w:sz w:val="15"/>
        </w:rPr>
        <w:t xml:space="preserve">2. </w:t>
      </w:r>
      <w:r>
        <w:rPr>
          <w:rFonts w:ascii="Calibri" w:hAnsi="Calibri"/>
          <w:b w:val="0"/>
          <w:color w:val="3A4A28"/>
          <w:sz w:val="17"/>
        </w:rPr>
        <w:t>Cardinal Health AI Center of Excellence, Palantir Partnership, Google Cloud Vertex AI, CEO Leadership (Jason Hollar since 2022), Glassdoor Reviews (3.6/5), Company Mission 'Essential to Care' — CardinalHealth.com Newsroom, 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Cardinal Health ESG Report FY2024, Equity Rx Program, SBTi Climate Targets (17% Scope 1&amp;2 reduction), $22M Foundation Donations, $6.6B Opioid Settlement — CardinalHealth.com ESG Reporting,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Cardinal Health Financial Statistics — Yahoo Finance, StockAnalysis: Stock Price $234.89, Forward P/E 16.7, P/E 32.5, Profit Margin 0.67%, Avg Volume 2.06M, Negative Shareholders' Equity,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