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CAKE</w:t>
      </w:r>
      <w:r>
        <w:rPr>
          <w:rFonts w:ascii="Calibri" w:hAnsi="Calibri"/>
          <w:b/>
          <w:color w:val="1A2010"/>
          <w:sz w:val="40"/>
        </w:rPr>
        <w:t xml:space="preserve">  The Cheesecake Factory Incorporated</w:t>
      </w:r>
    </w:p>
    <w:p>
      <w:pPr>
        <w:spacing w:after="120"/>
      </w:pPr>
      <w:r>
        <w:rPr>
          <w:rFonts w:ascii="Calibri" w:hAnsi="Calibri"/>
          <w:b/>
          <w:color w:val="6E8450"/>
          <w:sz w:val="18"/>
        </w:rPr>
        <w:t>GROWTH SLEEVE · 2026-09-21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The Cheesecake Factory Incorporated operates and licenses restaurants in the United States and Canada under The Cheesecake Factory, North Italia, Flower Child, and Fox Restaurant Concepts brands. The company also operates bakeries producing proprietary cheesecakes and baked products. Q2 2026 revenue surpassed $1 billion for the first time ($1.03B, +7.7% YoY) with record net income of $68M. Founded in 1972, headquartered in Calabasas, California, with approximately $4.9B market cap and 48,000 employees.</w:t>
      </w:r>
    </w:p>
    <w:p>
      <w:r>
        <w:rPr>
          <w:rFonts w:ascii="Calibri" w:hAnsi="Calibri"/>
          <w:b/>
          <w:color w:val="6E8450"/>
          <w:sz w:val="18"/>
        </w:rPr>
        <w:t>48,000 Employees · https://www.thecheesecakefactory.com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2019 Fox Restaurant Concepts acquisition (North Italia, Flower Child) expanded Cheesecake Factory from a single-concept operator into a multi-brand restaurant platform, and Q2 2026 revenue surpassed $1 billion for the first time, validating the growth strategy [1]. The company opened 25 new restaurants in FY2025 with plans for 26 in FY2026. However, the core Cheesecake Factory concept has not fundamentally evolved — the 250+ item menu format and dine-in model are unchanged for decades. AI Deployment (0/2): The company acknowledges AI applications in predictive inventory and personalized marketing as strategic priorities but faces 'legacy systems and lack of specialized talent' as implementation hurdles [2]. No AI-powered products are shipping to customers and no quantified AI-driven cost savings or revenue gains have been reported. Market Share (1/2): Average unit volumes of approximately $12M are among the highest in the casual dining industry, and comparable sales growth of 5.8% in Q2 2026 demonstrates strong customer demand [1]. However, casual dining remains a highly fragmented market without dominant category share. Product Pipeline (1/2): Up to 26 new restaurant openings planned for FY2026 with 7-8% average annual revenue growth targets. North Italia serves as the primary growth vehicle with a long-term expansion plan of 585 total restaurants across all brands [1]. R&amp;D Intensity (1/1): Menu innovation investment exceeds casual dining peers — the culinary team develops new dishes for the 250+ item scratch-made menu updated twice yearly, and the proprietary bakery operation provides product differentiation unavailable to competitors.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Cheesecake Factory's purpose centers on creating an exceptional dining experience through quality, generous portions, and hospitality. The mission is genuine and consistently executed since founder David Overton opened the first restaurant in 1978, but is functionally standard for the restaurant industry — it describes what the company does well rather than articulating a transformative future state [2]. Community Impact (1/2): The Cheesecake Factory Foundation and Oscar's Kitchen Foundation support Feeding America and hunger-relief organizations. The company has committed to net zero greenhouse gas emissions by 2050, achieved a 6% GHG reduction, signed the Science Based Targets Initiative Commitment Letter, and tied executive bonuses to sustainability metrics [3]. These programs demonstrate genuine commitment but are general corporate philanthropy. Employee Retention (2/2): Named to Fortune's '100 Best Companies to Work For' for 13 consecutive years — the only restaurant company to achieve this distinction in an industry notorious for high turnover [2]. Restaurant-level margin reaching 20% (highest in a decade) in Q2 2026 reflects operational excellence flowing from workforce stability [1]. Founder David Overton's 50+ year involvement provides extraordinary leadership continuity. Insider Buying (0/2): Founder Overton retains equity but no evidence of meaningful net open-market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sleeve. Q2 2026 delivered record $1.03B revenue (+7.7% YoY), record net income of $68M (+25%), adjusted EPS of $1.44 (+24%), and restaurant-level margin of 20% — the highest in a decade [1]. ROE of 38.8% far exceeds the 15% target (2x weight for growth) [4]. Forward P/E of 19.6 is just below the 20 target. PEG of 1.74 scores moderately at 0.63 (2x weight). D/E of 401% exceeds the 300% floor, scoring 0 — this is structurally inflated by ASC 842 operating lease liabilities across hundreds of restaurant locations, a characteristic shared by all asset-heavy restaurant operators [4]. Profit margin of 4.6% is well below the 20% target but improving as restaurant-level margins expand. Revenue 5yr CAGR of ~5% is below the 10% target (2x weight). Liquidity floor cleared easily: 1.63M avg volume x $98.04 = $159.8M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The Cheesecake Factory demonstrates solid infinite game characteristics through founder David Overton's 50+ year involvement, 13 consecutive years on Fortune's 100 Best Companies to Work For list, and an unwavering commitment to scratch-made quality that has endured across multiple economic cycles including COVID-19. Q2 2026 record results ($1B+ revenue, 20% restaurant margin) validate the long-term approach. However, the company's purpose remains operational excellence rather than a transformative Just Cause, and high leverage constrains strategic flexibility.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Cheesecake Factory's purpose — delivering an exceptional dining experience through quality, generosity, and hospitality — is a genuine operating philosophy consistently executed since David Overton opened the first restaurant in 1978 [2]. The 250+ item scratch-made menu, generous portions, and distinctive atmosphere reflect unwavering commitment over nearly five decades. However, this is an experience-delivery purpose rather than a transformative Just Cause — it inspires customer loyalty but does not describe a future state that invites sacrifice. The 13 consecutive Fortune Best Companies recognitions suggest the purpose is lived, not just marketed.</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Named to Fortune's '100 Best Companies to Work For' for 13 consecutive years — the only restaurant company to achieve this distinction in an industry notorious for high turnover and poor working conditions [2]. Record Q2 2026 restaurant-level margin of 20% (highest in a decade) reflects operational excellence that flows from a stable, motivated workforce [1]. Founder Overton's 50+ year involvement provides extraordinary leadership continuity. The combination of external recognition and record operational performance demonstrates that employee trust translates directly into business results.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Cheesecake Factory competes with Darden, Texas Roadhouse, BJ's Restaurants, and other casual dining operators by perfecting its own guest experience — menu breadth, portion generosity, and bakery quality — rather than framing competition as warfare [1]. The company differentiates through operational excellence and $12M average unit volumes without disparaging competitors or obsessing over market share. Management focuses on internal quality improvement and the guest experience rather than competitive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2019 Fox Restaurant Concepts acquisition expanded from a single-concept operator to a multi-brand platform with North Italia, Flower Child, and other growth concepts, and the 585-restaurant long-term plan represents a vision far beyond the current footprint [1]. The company adapted through COVID with off-premise dining capabilities. However, these are incremental extensions of the core restaurant business — the company has not abandoned a profitable business line or fundamentally reinvented itself. The core Cheesecake Factory concept remains the revenue foundation, largely unchanged since its inception.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2019 Fox Restaurant Concepts acquisition was a significant bet on multi-brand diversification during a period of casual dining industry uncertainty. The company maintains its scratch kitchen model with 250+ menu items despite far higher cost and complexity than peers who use processed ingredients — a deliberate quality-over-efficiency trade-off that requires ongoing conviction [1]. The ambitious 585-restaurant long-term expansion plan and commitment to 26 openings in FY2026 reflect willingness to invest aggressively. Maintaining the net zero 2050 commitment with executive compensation tied to sustainability demonstrates institutional values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Cheesecake Factory delivered record Q2 2026 results — revenue surpassing $1 billion for the first time ($1.03B, +7.7%), record net income of $68M (+25%), adjusted EPS of $1.44 beating Street estimates of $1.15, and restaurant-level margin of 20%, the highest in a decade [1]. Comparable sales growth of 5.8% at flagship restaurants demonstrates strong consumer demand in a challenging casual dining environment. At 19.6x forward earnings with ROE of 38.8%, up to 26 new openings planned for FY2026, the multi-brand platform (North Italia, Flower Child) providing higher-growth vectors, and 7-8% average annual revenue growth targets, CAKE offers a rare combination of operational excellence and growth in the restaurant sector [4]. The 13-year Fortune Best Companies streak, $12M average unit volumes, and Inspire Insight ALIGNED score of 42 strengthen the quality and values thesis.</w:t>
      </w:r>
    </w:p>
    <w:p>
      <w:pPr>
        <w:spacing w:after="120"/>
      </w:pPr>
      <w:r>
        <w:rPr>
          <w:rFonts w:ascii="Calibri" w:hAnsi="Calibri"/>
          <w:b w:val="0"/>
          <w:color w:val="3A4A28"/>
          <w:sz w:val="20"/>
        </w:rPr>
        <w:t>The bear case centers on structural restaurant industry challenges and financial leverage. D/E of 401% reflects massive operating lease liabilities across hundreds of locations ($2.1B total debt against $195M cash), creating cash flow vulnerability if consumer spending weakens in a recession [4]. Profit margin of 4.6% leaves minimal cushion against food cost inflation, minimum wage increases, or traffic declines — the casual dining sector faces ongoing secular headwinds from fast-casual competition and shifting consumer preferences toward convenience. Revenue 5yr CAGR of ~5% and PEG of 1.74 suggest the current growth rate may not justify the premium over peers. The company's moderate ESG controversy level on Sustainalytics, including a past $1M California wage theft settlement involving janitorial workers, creates tension with the Fortune Best Companies employer brand [3]. The ambitious 585-restaurant long-term plan requires sustained capital allocation discipline and management bandwidth across multiple brands while maintaining the scratch-made quality that defines the concept.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Up to 26 new restaurant openings planned for FY2026 with North Italia expansion as a higher-growth vehicle, supporting the company's 7-8% average annual revenue growth target and 585-restaurant long-term vision [1]</w:t>
      </w:r>
    </w:p>
    <w:p>
      <w:pPr>
        <w:spacing w:before="40" w:after="40"/>
        <w:ind w:left="283"/>
      </w:pPr>
      <w:r>
        <w:rPr>
          <w:rFonts w:ascii="Calibri" w:hAnsi="Calibri"/>
          <w:b/>
          <w:color w:val="4A6B25"/>
          <w:sz w:val="20"/>
        </w:rPr>
        <w:t xml:space="preserve">2. </w:t>
      </w:r>
      <w:r>
        <w:rPr>
          <w:rFonts w:ascii="Calibri" w:hAnsi="Calibri"/>
          <w:b w:val="0"/>
          <w:color w:val="3A4A28"/>
          <w:sz w:val="20"/>
        </w:rPr>
        <w:t>Restaurant-level margin reaching 20% (highest in a decade) suggests structural margin improvement that could lift profitability as scale benefits compound across new unit openings and operational efficiencies mature [1]</w:t>
      </w:r>
    </w:p>
    <w:p>
      <w:pPr>
        <w:spacing w:before="40" w:after="40"/>
        <w:ind w:left="283"/>
      </w:pPr>
      <w:r>
        <w:rPr>
          <w:rFonts w:ascii="Calibri" w:hAnsi="Calibri"/>
          <w:b/>
          <w:color w:val="4A6B25"/>
          <w:sz w:val="20"/>
        </w:rPr>
        <w:t xml:space="preserve">3. </w:t>
      </w:r>
      <w:r>
        <w:rPr>
          <w:rFonts w:ascii="Calibri" w:hAnsi="Calibri"/>
          <w:b w:val="0"/>
          <w:color w:val="3A4A28"/>
          <w:sz w:val="20"/>
        </w:rPr>
        <w:t>Forward P/E of 19.6x with 23.7% earnings growth and improving comparable sales (+5.8%) provides a compelling growth-at-reasonable-price profile in a sector where many peers trade at premium multiples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 D/E of 401% with $2.1B total debt reflects asset-heavy operating model with ASC 842 lease obligations, creating cash flow vulnerability during consumer spending downturns and limiting financial flexibility for future acquisitions [4]</w:t>
      </w:r>
    </w:p>
    <w:p>
      <w:pPr>
        <w:spacing w:before="40" w:after="40"/>
        <w:ind w:left="283"/>
      </w:pPr>
      <w:r>
        <w:rPr>
          <w:rFonts w:ascii="Calibri" w:hAnsi="Calibri"/>
          <w:b/>
          <w:color w:val="4A6B25"/>
          <w:sz w:val="20"/>
        </w:rPr>
        <w:t xml:space="preserve">2. </w:t>
      </w:r>
      <w:r>
        <w:rPr>
          <w:rFonts w:ascii="Calibri" w:hAnsi="Calibri"/>
          <w:b w:val="0"/>
          <w:color w:val="3A4A28"/>
          <w:sz w:val="20"/>
        </w:rPr>
        <w:t>Razor-thin margins — profit margin of 4.6% provides minimal cushion against food cost inflation, minimum wage increases, or same-store traffic declines in a highly competitive casual dining market where fast-casual alternatives continue gaining share [4]</w:t>
      </w:r>
    </w:p>
    <w:p>
      <w:pPr>
        <w:spacing w:before="40" w:after="40"/>
        <w:ind w:left="283"/>
      </w:pPr>
      <w:r>
        <w:rPr>
          <w:rFonts w:ascii="Calibri" w:hAnsi="Calibri"/>
          <w:b/>
          <w:color w:val="4A6B25"/>
          <w:sz w:val="20"/>
        </w:rPr>
        <w:t xml:space="preserve">3. </w:t>
      </w:r>
      <w:r>
        <w:rPr>
          <w:rFonts w:ascii="Calibri" w:hAnsi="Calibri"/>
          <w:b w:val="0"/>
          <w:color w:val="3A4A28"/>
          <w:sz w:val="20"/>
        </w:rPr>
        <w:t>Revenue 5yr CAGR of ~5% and PEG of 1.74 suggest the current valuation may fully reflect the company's growth trajectory, with limited upside if comparable sales decelerate from the strong 5.8% pace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The Cheesecake Factory's core business — operating physical restaurants, preparing 250+ menu items from scratch daily, and delivering an experiential dining atmosphere — is structurally immune to AI displacement [1]. Full-service restaurants require physical locations, human cooking, food preparation, table service, and an in-person atmosphere that AI cannot replicate or substitute. The proprietary bakery operations involve physical manufacturing processes. Average unit volumes of $12M reflect an in-person dining experience that is AI-immune by nature. Analysts do not flag AI as a substitution risk for full-service restaurant operators. Some back-of-house operations (scheduling, inventory, demand forecasting) can be enhanced by AI, but these represent efficiency tools that benefit the company rather than existential threats. AI Opportunity (0/1): No quantifiable AI-specific revenue. The company acknowledges AI potential for predictive inventory and personalized marketing but faces legacy system hurdles and has not shipped AI-powered products generating identifiable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Cheesecake Factory Q2 2026 Earnings — Record $1.03B Revenue (+7.7%), $68M Net Income (+25%), $1.44 Adj EPS (Beat $1.15 Est), 20% Restaurant Margin (Decade High), Comp Sales +5.8%, 26 New Openings Planned; SEC 8-K and 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Cheesecake Factory Leadership, Culture, and Strategy — CEO David Overton 50+ Year Involvement, 13 Consecutive Fortune 100 Best Companies, 250+ Item Scratch Menu, AI Scheduling and Predictive Inventory Priorities; Craft.co and SWOT Analysis, 2026</w:t>
      </w:r>
    </w:p>
    <w:p>
      <w:pPr>
        <w:spacing w:before="20" w:after="20"/>
        <w:ind w:left="170"/>
      </w:pPr>
      <w:r>
        <w:rPr>
          <w:rFonts w:ascii="Calibri" w:hAnsi="Calibri"/>
          <w:b/>
          <w:color w:val="4A6B25"/>
          <w:sz w:val="15"/>
        </w:rPr>
        <w:t xml:space="preserve">3. </w:t>
      </w:r>
      <w:r>
        <w:rPr>
          <w:rFonts w:ascii="Calibri" w:hAnsi="Calibri"/>
          <w:b w:val="0"/>
          <w:color w:val="3A4A28"/>
          <w:sz w:val="17"/>
        </w:rPr>
        <w:t>Cheesecake Factory ESG and Sustainability — Net Zero 2050 Commitment, SBTi Signed, 6% GHG Reduction, Executive Comp Tied to Sustainability, Moderate Controversy Level; Sustainalytics and CSR Reports,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CAKE Key Statistics: Stock Price $98.04, Forward P/E 19.58, ROE 38.83%, D/E 401%, Profit Margin 4.61%, PEG 1.74, Avg Volume 1.6M,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