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CAPR</w:t>
      </w:r>
      <w:r>
        <w:rPr>
          <w:rFonts w:ascii="Calibri" w:hAnsi="Calibri"/>
          <w:b/>
          <w:color w:val="1A2010"/>
          <w:sz w:val="40"/>
        </w:rPr>
        <w:t xml:space="preserve">  Capricor Therapeutics, Inc.</w:t>
      </w:r>
    </w:p>
    <w:p>
      <w:pPr>
        <w:spacing w:after="120"/>
      </w:pPr>
      <w:r>
        <w:rPr>
          <w:rFonts w:ascii="Calibri" w:hAnsi="Calibri"/>
          <w:b/>
          <w:color w:val="6E8450"/>
          <w:sz w:val="18"/>
        </w:rPr>
        <w:t>GROWTH SLEEVE · 2026-09-19 · Inspire: 27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Capricor Therapeutics is a clinical-stage biotechnology company developing transformative cell and exosome-based therapeutics. Its lead candidate, Deramiocel (CAP-1002), is an allogeneic cardiosphere-derived cell therapy for Duchenne muscular dystrophy (DMD). The FDA Advisory Committee voted 9-3 against recommending deramiocel approval on July 29, 2026, citing concerns about statistical analysis plan revisions after randomization. The PDUFA date was extended to November 22, 2026 after Capricor submitted a BLA amendment with 24-month HOPE-3 data and a refined indication focused on upper limb function. The company also develops the StealthX exosome platform. Headquartered in San Diego, California.</w:t>
      </w:r>
    </w:p>
    <w:p>
      <w:r>
        <w:rPr>
          <w:rFonts w:ascii="Calibri" w:hAnsi="Calibri"/>
          <w:b/>
          <w:color w:val="6E8450"/>
          <w:sz w:val="18"/>
        </w:rPr>
        <w:t>231 Employees · https://www.capricor.com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Capricor advanced Deramiocel through Phase 3 clinical trials and BLA filing for DMD, receiving Breakthrough Therapy designation — a genuine achievement for a 231-person biotech [1]. However, execution has been severely tested: the FDA issued a Complete Response Letter, the BLA was resubmitted but then the Advisory Committee voted 9-3 against on July 29, 2026, with panelists questioning revisions to the statistical analysis plan after randomization [3]. The company has now submitted additional 24-month HOPE-3 data and refined the proposed indication to focus on upper limb function, but the pattern of regulatory setbacks damages the innovation track record. AI Deployment (0/2): No evidence of AI-powered products or AI-driven cost savings; the company operates in traditional cell therapy development [2]. Market Share (1/2): Deramiocel, if approved, would be a first-in-class allogeneic cell therapy for DMD, addressing ~12,000 U.S. patients with limited treatment options [2]. Late-breaking data at the 2026 MDA Clinical &amp; Scientific Conference reinforced cardiac and skeletal muscle benefits. However, approval probability has declined materially following the 9-3 AdCom vote against [3]. Product Pipeline (1/2): The StealthX exosome platform represents next-generation delivery technology with Phase 1 and preclinical programs, though timelines remain vague and the company is effectively a single-product bet until deramiocel's FDA outcome is resolved [2]. Michael Maurer joined as Chief Commercial Officer in May 2026, building launch infrastructure. R&amp;D Intensity (1/1): R&amp;D spending of approximately $43M/quarter significantly exceeds any revenue, typical of a clinical-stage biotech in active BLA review and commercial preparation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Capricor's mission centers on developing life-changing therapies for patients with serious diseases, particularly the DMD community — a deeply purposeful cause validated by CEO Dr. Linda Marban's 20+ year sustained focus on a devastating childhood disease where patients have few alternatives and typically die in their 20s [2]. The decision to refine the BLA and submit additional data after the 9-3 AdCom vote rather than abandon the program demonstrates mission persistence. Community Impact (1/2): The company actively engages with the DMD patient community through CureDuchenne partnerships and patient advocacy organizations, including Parent Project Muscular Dystrophy [2]. Deramiocel's potential to preserve cardiac and skeletal muscle function would be transformative for DMD patients and families. Employee Retention (0/2): Glassdoor rating of 3.4/5 with only 52% recommending the workplace; reviews describe a stark dichotomy — some cite purpose and collaboration, while others report management concerns and hostile culture [4]. No specific retention data available for the 231-person workforce. Insider Buying (0/2): Significant insider selling by directors and officers in early 2026 — $3.5M+ in aggregate sales ahead of the PDUFA date — undermines insider conviction. No meaningful net insider buying identified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Capricor is a pre-commercial clinical-stage biotech with zero product revenue in Q2 2026 and total operating expenses of approximately $42.9M for the quarter [1]. D/E of 36.98% is conservative, scored at ceiling (1.0), but all other metrics score at floor: ROE of -73.7% reflects accelerating operating losses as the company builds commercial infrastructure ahead of a potential launch, and profit margin of 0% (no revenue) scores at floor [6]. Cash has declined to $238M from $279M at Q1, with approximately $90M in quarterly burn, providing roughly 2.5 years of runway — sufficient for the November 22 PDUFA date but not for a prolonged regulatory delay without additional capital [1]. The stock has partially recovered to $9.06 from the ~$7.00 crash low following the 9-3 AdCom vote, with market cap of $527M representing approximately 2.2x cash. Daily volume of 6.4M shares at $9.06 = $58M daily liquidity, well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Capricor under Dr. Linda Marban demonstrates genuine purpose — 20+ years of persistent pursuit of a cell therapy for DMD patients despite repeated setbacks including an FDA Complete Response Letter and now a 9-3 Advisory Committee vote against [3]. The decision to submit additional 24-month data and refine the indication rather than abandon the program shows mission commitment. However, the organization lacks scale, cultural depth, and strategic breadth to score higher, and the governance concerns reflected in insider selling and Glassdoor reviews temper the infinite game assessment.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Capricor's purpose — developing life-changing cell therapies for children with Duchenne muscular dystrophy — is genuine, specific, and validated by 20+ years of consistent pursuit under Dr. Marban's leadership [2]. The decision to refine the BLA submission and submit 24-month HOPE-3 extension data after the 9-3 AdCom vote rather than abandoning the program demonstrates that the cause drives decisions even in adversity [3]. However, the cause hasn't been tested through a multi-product, multi-decade validation, and the company's pre-commercial status means the cause remains aspirational.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3.4/5 with only 52% recommending the workplace signals below-average organizational trust [4]. Reviews describe a stark dichotomy — some cite strong purpose and collaboration, while others report management concerns. The polarized reviews suggest leadership quality varies significantly across teams. Significant insider selling ahead of the PDUFA date further undermines organizational trust between leadership and shareholders.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in public materials of Capricor acknowledging competitors' strengths or framing competition as motivation for self-improvement. As a rare disease biotech with a potentially first-in-class therapy, the company operates primarily in a regulatory approval context rather than a competitive market, with limited rival engagement visible in communications.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Capricor evolved from its original cardiac regeneration focus to DMD as the lead indication, and expanded into the StealthX exosome platform — demonstrating willingness to follow the science toward higher-value therapeutic opportunities [2]. The refined BLA indication focusing on upper limb function (rather than broader cardiomyopathy claims) shows tactical flexibility in regulatory strategy. However, these shifts are incremental extensions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Dr. Marban's decision to persist through the FDA Complete Response Letter, raise over $300M to fund continued development, resubmit the BLA, and now submit additional data after the 9-3 AdCom vote demonstrates conviction in the face of extraordinary regulatory adversity [1][3]. The company continued investing in commercial infrastructure (hiring CCO Michael Maurer in May 2026) despite binary regulatory uncertainty. However, the CEO's prior admission of being 'completely shocked' by FDA safety findings and the negative AdCom outcome suggest gaps in regulatory preparation that undermine the courage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Capricor Therapeutics represents a high-risk binary biotech opportunity centered on the extended FDA review of Deramiocel for Duchenne muscular dystrophy, with the PDUFA target date now November 22, 2026 [3]. Despite the 9-3 Advisory Committee vote against on July 29, the vote is non-binding and the company has submitted a BLA amendment including 24-month open-label HOPE-3 extension data and a refined indication focused on upper limb function (PUL 2.0 primary endpoint), which could address the panelists' concerns about statistical analysis plan revisions [3]. Late-breaking data at the 2026 MDA Conference reinforced deramiocel's impact on both cardiac and skeletal muscle function. If approved, Deramiocel would be a first-in-class allogeneic cell therapy addressing ~12,000 U.S. DMD patients with limited alternatives [2]. The company holds $238M in cash providing approximately 2.5 years of runway. At $527M market cap (~2.2x cash), the stock partially recovered from its crash low but still prices in substantial regulatory skepticism — approval would drive significant upside.</w:t>
      </w:r>
    </w:p>
    <w:p>
      <w:pPr>
        <w:spacing w:after="120"/>
      </w:pPr>
      <w:r>
        <w:rPr>
          <w:rFonts w:ascii="Calibri" w:hAnsi="Calibri"/>
          <w:b w:val="0"/>
          <w:color w:val="3A4A28"/>
          <w:sz w:val="20"/>
        </w:rPr>
        <w:t>The bear case is substantial and has strengthened since the 9-3 AdCom vote against. Panelists questioned revisions Capricor made to the HOPE-3 statistical analysis plan after randomization, raising fundamental concerns about data integrity that additional 24-month data may not resolve [3]. Hypersensitivity reactions occurred in 41.5% of Deramiocel patients vs 15.4% placebo — a safety signal that could result in rejection, restrictive labeling (REMS), or severe commercial limitations even with approval. The prior Complete Response Letter already demonstrated FDA execution challenges, and the 9-3 vote makes approval materially less likely, though not impossible given the non-binding nature of AdCom recommendations. Q2 2026 operating expenses surged to $42.9M (vs $27.7M in Q2 2025) as the company builds commercial infrastructure ahead of a still-uncertain regulatory outcome [1]. Cash has declined to $238M with approximately $90M in quarterly burn, providing runway to mid-2027 but insufficient for a prolonged delay without additional dilutive capital. Significant insider selling ($3.5M+) in early 2026 ahead of the PDUFA date undermines management conviction [5]. The DMD patient population of ~12,000 limits peak revenue potential even in an approval scenario.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PDUFA target date of November 22, 2026 — the non-binding 9-3 AdCom vote leaves the door open for FDA approval, and the BLA amendment with 24-month HOPE-3 data and refined upper limb function indication could address panelists' concerns [3]</w:t>
      </w:r>
    </w:p>
    <w:p>
      <w:pPr>
        <w:spacing w:before="40" w:after="40"/>
        <w:ind w:left="283"/>
      </w:pPr>
      <w:r>
        <w:rPr>
          <w:rFonts w:ascii="Calibri" w:hAnsi="Calibri"/>
          <w:b/>
          <w:color w:val="4A6B25"/>
          <w:sz w:val="20"/>
        </w:rPr>
        <w:t xml:space="preserve">2. </w:t>
      </w:r>
      <w:r>
        <w:rPr>
          <w:rFonts w:ascii="Calibri" w:hAnsi="Calibri"/>
          <w:b w:val="0"/>
          <w:color w:val="3A4A28"/>
          <w:sz w:val="20"/>
        </w:rPr>
        <w:t>Late-breaking data at the 2026 MDA Clinical &amp; Scientific Conference reinforcing deramiocel's cardiac and skeletal muscle benefits could strengthen the clinical narrative for FDA reviewers evaluating the amended BLA [2]</w:t>
      </w:r>
    </w:p>
    <w:p>
      <w:pPr>
        <w:spacing w:before="40" w:after="40"/>
        <w:ind w:left="283"/>
      </w:pPr>
      <w:r>
        <w:rPr>
          <w:rFonts w:ascii="Calibri" w:hAnsi="Calibri"/>
          <w:b/>
          <w:color w:val="4A6B25"/>
          <w:sz w:val="20"/>
        </w:rPr>
        <w:t xml:space="preserve">3. </w:t>
      </w:r>
      <w:r>
        <w:rPr>
          <w:rFonts w:ascii="Calibri" w:hAnsi="Calibri"/>
          <w:b w:val="0"/>
          <w:color w:val="3A4A28"/>
          <w:sz w:val="20"/>
        </w:rPr>
        <w:t>StealthX exosome platform advancement into clinical-stage programs could diversify the pipeline beyond the binary Deramiocel outcome, with Phase 1 studies underway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9-3 AdCom vote against with concerns about statistical analysis plan revisions after randomization — fundamental data integrity questions that additional 24-month data may not fully resolve, and 41.5% hypersensitivity rate vs 15.4% placebo could result in rejection or restrictive labeling [3]</w:t>
      </w:r>
    </w:p>
    <w:p>
      <w:pPr>
        <w:spacing w:before="40" w:after="40"/>
        <w:ind w:left="283"/>
      </w:pPr>
      <w:r>
        <w:rPr>
          <w:rFonts w:ascii="Calibri" w:hAnsi="Calibri"/>
          <w:b/>
          <w:color w:val="4A6B25"/>
          <w:sz w:val="20"/>
        </w:rPr>
        <w:t xml:space="preserve">2. </w:t>
      </w:r>
      <w:r>
        <w:rPr>
          <w:rFonts w:ascii="Calibri" w:hAnsi="Calibri"/>
          <w:b w:val="0"/>
          <w:color w:val="3A4A28"/>
          <w:sz w:val="20"/>
        </w:rPr>
        <w:t>Binary regulatory risk with prior CRL history — FDA rejection at the November 22 PDUFA would be devastating with $0 product revenue, $90M quarterly burn, and declining cash from $238M [1]</w:t>
      </w:r>
    </w:p>
    <w:p>
      <w:pPr>
        <w:spacing w:before="40" w:after="40"/>
        <w:ind w:left="283"/>
      </w:pPr>
      <w:r>
        <w:rPr>
          <w:rFonts w:ascii="Calibri" w:hAnsi="Calibri"/>
          <w:b/>
          <w:color w:val="4A6B25"/>
          <w:sz w:val="20"/>
        </w:rPr>
        <w:t xml:space="preserve">3. </w:t>
      </w:r>
      <w:r>
        <w:rPr>
          <w:rFonts w:ascii="Calibri" w:hAnsi="Calibri"/>
          <w:b w:val="0"/>
          <w:color w:val="3A4A28"/>
          <w:sz w:val="20"/>
        </w:rPr>
        <w:t>Significant insider selling by executives ($3.5M+ aggregate) in early 2026 ahead of the most critical regulatory event in the company's history signals potential insider caution about the outcome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Capricor's core business — developing allogeneic cell therapies and exosome-based biologics — is fundamentally immune to AI disruption [2]. Cell therapy manufacturing involves growing living cardiosphere-derived cells, clinical trial execution with human DMD patients, and navigating complex FDA regulatory review including Advisory Committee hearings — all physical processes with no digital substitution pathway. The BLA review process, REMS considerations, and post-market surveillance requirements create regulatory moats that AI cannot bypass. AI may modestly accelerate competitor drug discovery timelines but cannot substitute Capricor's specific manufacturing know-how, clinical dataset, or regulatory data package. AI Opportunity (0/1): No evidence of AI-generated revenue or AI-powered therapeutic products; the company's approach is biology-driven with cardiosphere-derived cells rather than computationally driven.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Capricor Therapeutics Q2 2026 Financial Results — $42.9M operating expenses, zero product revenue, cash ~$238M, BLA amendment submitted, August 2026</w:t>
      </w:r>
    </w:p>
    <w:p>
      <w:pPr>
        <w:spacing w:before="20" w:after="20"/>
        <w:ind w:left="170"/>
      </w:pPr>
      <w:r>
        <w:rPr>
          <w:rFonts w:ascii="Calibri" w:hAnsi="Calibri"/>
          <w:b/>
          <w:color w:val="4A6B25"/>
          <w:sz w:val="15"/>
        </w:rPr>
        <w:t xml:space="preserve">2. </w:t>
      </w:r>
      <w:r>
        <w:rPr>
          <w:rFonts w:ascii="Calibri" w:hAnsi="Calibri"/>
          <w:b w:val="0"/>
          <w:color w:val="3A4A28"/>
          <w:sz w:val="17"/>
        </w:rPr>
        <w:t>Capricor Therapeutics corporate website — Deramiocel BLA, Phase 3 HOPE-3, StealthX platform, MDA Conference data, CCO Michael Maurer appointment May 2026,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FDA Advisory Committee Vote 9-3 Against Deramiocel — concerns about statistical analysis plan revisions, PDUFA extended to November 22, 2026, BLA amendment with 24-month data and refined upper limb function indication, NeurologyLive / CGTLive, July-August 2026</w:t>
      </w:r>
    </w:p>
    <w:p>
      <w:pPr>
        <w:spacing w:before="20" w:after="20"/>
        <w:ind w:left="170"/>
      </w:pPr>
      <w:r>
        <w:rPr>
          <w:rFonts w:ascii="Calibri" w:hAnsi="Calibri"/>
          <w:b/>
          <w:color w:val="4A6B25"/>
          <w:sz w:val="15"/>
        </w:rPr>
        <w:t xml:space="preserve">4. </w:t>
      </w:r>
      <w:r>
        <w:rPr>
          <w:rFonts w:ascii="Calibri" w:hAnsi="Calibri"/>
          <w:b w:val="0"/>
          <w:color w:val="3A4A28"/>
          <w:sz w:val="17"/>
        </w:rPr>
        <w:t>Capricor Therapeutics Glassdoor Reviews (3.4/5, 29 reviews, 52% recommend) — management culture concerns,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SEC EDGAR — Capricor Therapeutics Form 4 insider transaction filings, $3.5M+ aggregate insider selling, March-April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CAPR Key Statistics: Stock Price $9.06, D/E 36.98%, ROE -73.7%, Market Cap $527M, Cash $238M, Avg Volume 6.4M,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